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9E5" w14:textId="73C8C8F8" w:rsidR="00534948" w:rsidRDefault="00534948" w:rsidP="00A5478D">
      <w:pPr>
        <w:jc w:val="both"/>
        <w:rPr>
          <w:rFonts w:ascii="Times New Roman" w:hAnsi="Times New Roman" w:cs="Times New Roman"/>
          <w:b/>
          <w:bCs/>
        </w:rPr>
      </w:pPr>
      <w:r>
        <w:rPr>
          <w:rFonts w:ascii="Times New Roman" w:hAnsi="Times New Roman" w:cs="Times New Roman"/>
          <w:b/>
          <w:bCs/>
          <w:noProof/>
        </w:rPr>
        <w:drawing>
          <wp:inline distT="0" distB="0" distL="0" distR="0" wp14:anchorId="78D2B67F" wp14:editId="3050434B">
            <wp:extent cx="5943600" cy="1014557"/>
            <wp:effectExtent l="0" t="0" r="0" b="0"/>
            <wp:docPr id="94510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07601" name="Picture 9451076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9891" cy="1020752"/>
                    </a:xfrm>
                    <a:prstGeom prst="rect">
                      <a:avLst/>
                    </a:prstGeom>
                  </pic:spPr>
                </pic:pic>
              </a:graphicData>
            </a:graphic>
          </wp:inline>
        </w:drawing>
      </w:r>
    </w:p>
    <w:p w14:paraId="6A0A11DB" w14:textId="77777777" w:rsidR="00FC2312" w:rsidRDefault="00FC2312" w:rsidP="00A5478D">
      <w:pPr>
        <w:jc w:val="both"/>
        <w:rPr>
          <w:rFonts w:ascii="Times New Roman" w:hAnsi="Times New Roman" w:cs="Times New Roman"/>
          <w:b/>
          <w:bCs/>
        </w:rPr>
      </w:pPr>
    </w:p>
    <w:p w14:paraId="27956D6F" w14:textId="5EFEA4ED" w:rsidR="008D4C16" w:rsidRDefault="008D4C16" w:rsidP="00A5478D">
      <w:pPr>
        <w:jc w:val="both"/>
        <w:rPr>
          <w:rFonts w:ascii="Times New Roman" w:hAnsi="Times New Roman" w:cs="Times New Roman"/>
          <w:b/>
          <w:bCs/>
        </w:rPr>
      </w:pPr>
      <w:r>
        <w:rPr>
          <w:rFonts w:ascii="Times New Roman" w:hAnsi="Times New Roman" w:cs="Times New Roman"/>
          <w:b/>
          <w:bCs/>
        </w:rPr>
        <w:t>Name:</w:t>
      </w:r>
      <w:r w:rsidR="00DB28F4">
        <w:rPr>
          <w:rFonts w:ascii="Times New Roman" w:hAnsi="Times New Roman" w:cs="Times New Roman"/>
          <w:b/>
          <w:bCs/>
        </w:rPr>
        <w:t xml:space="preserve"> </w:t>
      </w:r>
      <w:r>
        <w:rPr>
          <w:rFonts w:ascii="Times New Roman" w:hAnsi="Times New Roman" w:cs="Times New Roman"/>
          <w:b/>
          <w:bCs/>
        </w:rPr>
        <w:t>Bandari Lakshitha Sankar Reddy</w:t>
      </w:r>
    </w:p>
    <w:p w14:paraId="69DB94FE" w14:textId="23997C30" w:rsidR="00DB28F4" w:rsidRDefault="00DB28F4" w:rsidP="00A5478D">
      <w:pPr>
        <w:jc w:val="both"/>
        <w:rPr>
          <w:rFonts w:ascii="Times New Roman" w:hAnsi="Times New Roman" w:cs="Times New Roman"/>
          <w:b/>
          <w:bCs/>
        </w:rPr>
      </w:pPr>
      <w:r>
        <w:rPr>
          <w:rFonts w:ascii="Times New Roman" w:hAnsi="Times New Roman" w:cs="Times New Roman"/>
          <w:b/>
          <w:bCs/>
        </w:rPr>
        <w:t>RegNo : 192571085</w:t>
      </w:r>
    </w:p>
    <w:p w14:paraId="7D5A5EFC" w14:textId="6DE7CC9A" w:rsidR="00B4781D" w:rsidRDefault="00B4781D" w:rsidP="00A5478D">
      <w:pPr>
        <w:jc w:val="both"/>
        <w:rPr>
          <w:rFonts w:ascii="Times New Roman" w:hAnsi="Times New Roman" w:cs="Times New Roman"/>
          <w:b/>
          <w:bCs/>
        </w:rPr>
      </w:pPr>
      <w:r>
        <w:rPr>
          <w:rFonts w:ascii="Times New Roman" w:hAnsi="Times New Roman" w:cs="Times New Roman"/>
          <w:b/>
          <w:bCs/>
        </w:rPr>
        <w:t>Code:CSA1409</w:t>
      </w:r>
    </w:p>
    <w:p w14:paraId="6EFDFECC" w14:textId="3FD2B735" w:rsidR="00B4781D" w:rsidRDefault="00B4781D" w:rsidP="00A5478D">
      <w:pPr>
        <w:jc w:val="both"/>
        <w:rPr>
          <w:rFonts w:ascii="Times New Roman" w:hAnsi="Times New Roman" w:cs="Times New Roman"/>
          <w:b/>
          <w:bCs/>
        </w:rPr>
      </w:pPr>
      <w:r>
        <w:rPr>
          <w:rFonts w:ascii="Times New Roman" w:hAnsi="Times New Roman" w:cs="Times New Roman"/>
          <w:b/>
          <w:bCs/>
        </w:rPr>
        <w:t>Course: Compiler Design</w:t>
      </w:r>
    </w:p>
    <w:p w14:paraId="227DE7BC" w14:textId="244610BD" w:rsidR="00FC2312" w:rsidRDefault="00FC2312" w:rsidP="00A5478D">
      <w:pPr>
        <w:jc w:val="both"/>
        <w:rPr>
          <w:rFonts w:ascii="Times New Roman" w:hAnsi="Times New Roman" w:cs="Times New Roman"/>
          <w:b/>
          <w:bCs/>
        </w:rPr>
      </w:pPr>
      <w:r>
        <w:rPr>
          <w:rFonts w:ascii="Times New Roman" w:hAnsi="Times New Roman" w:cs="Times New Roman"/>
          <w:b/>
          <w:bCs/>
        </w:rPr>
        <w:t>Assessment</w:t>
      </w:r>
      <w:r w:rsidR="00CE3050">
        <w:rPr>
          <w:rFonts w:ascii="Times New Roman" w:hAnsi="Times New Roman" w:cs="Times New Roman"/>
          <w:b/>
          <w:bCs/>
        </w:rPr>
        <w:t>-</w:t>
      </w:r>
      <w:r w:rsidR="00E652F1">
        <w:rPr>
          <w:rFonts w:ascii="Times New Roman" w:hAnsi="Times New Roman" w:cs="Times New Roman"/>
          <w:b/>
          <w:bCs/>
        </w:rPr>
        <w:t>CO2</w:t>
      </w:r>
      <w:r w:rsidR="00CE3050">
        <w:rPr>
          <w:rFonts w:ascii="Times New Roman" w:hAnsi="Times New Roman" w:cs="Times New Roman"/>
          <w:b/>
          <w:bCs/>
        </w:rPr>
        <w:t xml:space="preserve"> </w:t>
      </w:r>
      <w:r w:rsidR="00E652F1">
        <w:rPr>
          <w:rFonts w:ascii="Times New Roman" w:hAnsi="Times New Roman" w:cs="Times New Roman"/>
          <w:b/>
          <w:bCs/>
        </w:rPr>
        <w:t>AT1</w:t>
      </w:r>
    </w:p>
    <w:p w14:paraId="4562180E" w14:textId="77777777" w:rsidR="00534948" w:rsidRDefault="00534948" w:rsidP="00A5478D">
      <w:pPr>
        <w:jc w:val="both"/>
        <w:rPr>
          <w:rFonts w:ascii="Times New Roman" w:hAnsi="Times New Roman" w:cs="Times New Roman"/>
          <w:b/>
          <w:bCs/>
        </w:rPr>
      </w:pPr>
    </w:p>
    <w:p w14:paraId="426DFEE8" w14:textId="51B26F3B"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QUESTION 4: Critically Evaluate the Effectiveness of Parsing Expression Grammars (PEG)</w:t>
      </w:r>
    </w:p>
    <w:p w14:paraId="10D8E53F"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1. Introduction</w:t>
      </w:r>
    </w:p>
    <w:p w14:paraId="6BDF68FE"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Parsing Expression Grammars (PEGs) are a formal way to describe the syntax of a language. They are related to context-free grammars (CFGs), but they use ordered choice rather than the unordered alternatives commonly used in CFGs. PEGs are useful for building parsers because their choice rules make the interpretation of alternatives predictable.</w:t>
      </w:r>
    </w:p>
    <w:p w14:paraId="74CBC092"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2. How PEG Resolves Ambiguity</w:t>
      </w:r>
    </w:p>
    <w:p w14:paraId="47A79B3F"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In a CFG, alternatives may allow more than one parse tree for the same input. Such a grammar is ambiguous unless additional rules or grammar restructuring resolve the ambiguity. In a PEG, alternatives are ordered. The parser tries the first alternative; if it succeeds, later alternatives are not considered for that choice. If it fails, the parser may try the next alternative. Therefore, PEG gives a deterministic interpretation based on the order of alternatives.</w:t>
      </w:r>
    </w:p>
    <w:p w14:paraId="03FBA39F"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For example, in a PEG expression such as A &lt;- B / C, B is tried before C. This is not the same as treating B and C as interchangeable alternatives. Changing their order can change the language recognized by the grammar.</w:t>
      </w:r>
    </w:p>
    <w:p w14:paraId="67C0B52B"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3. Comparison of PEG, LL and LR Parsers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47"/>
        <w:gridCol w:w="2317"/>
        <w:gridCol w:w="2341"/>
        <w:gridCol w:w="2345"/>
      </w:tblGrid>
      <w:tr w:rsidR="00080A67" w:rsidRPr="004F661A" w14:paraId="08A13FCD" w14:textId="77777777">
        <w:tc>
          <w:tcPr>
            <w:tcW w:w="2448" w:type="dxa"/>
            <w:tcBorders>
              <w:top w:val="single" w:sz="4" w:space="0" w:color="000000"/>
              <w:left w:val="single" w:sz="4" w:space="0" w:color="000000"/>
              <w:bottom w:val="single" w:sz="4" w:space="0" w:color="000000"/>
              <w:right w:val="single" w:sz="4" w:space="0" w:color="000000"/>
            </w:tcBorders>
            <w:hideMark/>
          </w:tcPr>
          <w:p w14:paraId="66F32B7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Feature</w:t>
            </w:r>
          </w:p>
        </w:tc>
        <w:tc>
          <w:tcPr>
            <w:tcW w:w="2448" w:type="dxa"/>
            <w:tcBorders>
              <w:top w:val="single" w:sz="4" w:space="0" w:color="000000"/>
              <w:left w:val="single" w:sz="4" w:space="0" w:color="000000"/>
              <w:bottom w:val="single" w:sz="4" w:space="0" w:color="000000"/>
              <w:right w:val="single" w:sz="4" w:space="0" w:color="000000"/>
            </w:tcBorders>
            <w:hideMark/>
          </w:tcPr>
          <w:p w14:paraId="19D7E70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PEG</w:t>
            </w:r>
          </w:p>
        </w:tc>
        <w:tc>
          <w:tcPr>
            <w:tcW w:w="2448" w:type="dxa"/>
            <w:tcBorders>
              <w:top w:val="single" w:sz="4" w:space="0" w:color="000000"/>
              <w:left w:val="single" w:sz="4" w:space="0" w:color="000000"/>
              <w:bottom w:val="single" w:sz="4" w:space="0" w:color="000000"/>
              <w:right w:val="single" w:sz="4" w:space="0" w:color="000000"/>
            </w:tcBorders>
            <w:hideMark/>
          </w:tcPr>
          <w:p w14:paraId="0AC5B24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LL Parsing</w:t>
            </w:r>
          </w:p>
        </w:tc>
        <w:tc>
          <w:tcPr>
            <w:tcW w:w="2448" w:type="dxa"/>
            <w:tcBorders>
              <w:top w:val="single" w:sz="4" w:space="0" w:color="000000"/>
              <w:left w:val="single" w:sz="4" w:space="0" w:color="000000"/>
              <w:bottom w:val="single" w:sz="4" w:space="0" w:color="000000"/>
              <w:right w:val="single" w:sz="4" w:space="0" w:color="000000"/>
            </w:tcBorders>
            <w:hideMark/>
          </w:tcPr>
          <w:p w14:paraId="5D545DD9"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LR Parsing</w:t>
            </w:r>
          </w:p>
        </w:tc>
      </w:tr>
      <w:tr w:rsidR="00080A67" w:rsidRPr="004F661A" w14:paraId="6738271C" w14:textId="77777777">
        <w:tc>
          <w:tcPr>
            <w:tcW w:w="2448" w:type="dxa"/>
            <w:tcBorders>
              <w:top w:val="single" w:sz="4" w:space="0" w:color="000000"/>
              <w:left w:val="single" w:sz="4" w:space="0" w:color="000000"/>
              <w:bottom w:val="single" w:sz="4" w:space="0" w:color="000000"/>
              <w:right w:val="single" w:sz="4" w:space="0" w:color="000000"/>
            </w:tcBorders>
            <w:hideMark/>
          </w:tcPr>
          <w:p w14:paraId="2D19598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Ambiguity</w:t>
            </w:r>
          </w:p>
        </w:tc>
        <w:tc>
          <w:tcPr>
            <w:tcW w:w="2448" w:type="dxa"/>
            <w:tcBorders>
              <w:top w:val="single" w:sz="4" w:space="0" w:color="000000"/>
              <w:left w:val="single" w:sz="4" w:space="0" w:color="000000"/>
              <w:bottom w:val="single" w:sz="4" w:space="0" w:color="000000"/>
              <w:right w:val="single" w:sz="4" w:space="0" w:color="000000"/>
            </w:tcBorders>
            <w:hideMark/>
          </w:tcPr>
          <w:p w14:paraId="408BDFB7"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 xml:space="preserve">Ordered choice selects one interpretation </w:t>
            </w:r>
            <w:r w:rsidRPr="004F661A">
              <w:rPr>
                <w:rFonts w:ascii="Times New Roman" w:hAnsi="Times New Roman" w:cs="Times New Roman"/>
              </w:rPr>
              <w:lastRenderedPageBreak/>
              <w:t>according to alternative order.</w:t>
            </w:r>
          </w:p>
        </w:tc>
        <w:tc>
          <w:tcPr>
            <w:tcW w:w="2448" w:type="dxa"/>
            <w:tcBorders>
              <w:top w:val="single" w:sz="4" w:space="0" w:color="000000"/>
              <w:left w:val="single" w:sz="4" w:space="0" w:color="000000"/>
              <w:bottom w:val="single" w:sz="4" w:space="0" w:color="000000"/>
              <w:right w:val="single" w:sz="4" w:space="0" w:color="000000"/>
            </w:tcBorders>
            <w:hideMark/>
          </w:tcPr>
          <w:p w14:paraId="5112434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lastRenderedPageBreak/>
              <w:t xml:space="preserve">Requires a grammar suitable for predictive decisions; ambiguous </w:t>
            </w:r>
            <w:r w:rsidRPr="004F661A">
              <w:rPr>
                <w:rFonts w:ascii="Times New Roman" w:hAnsi="Times New Roman" w:cs="Times New Roman"/>
              </w:rPr>
              <w:lastRenderedPageBreak/>
              <w:t>grammars must be transformed.</w:t>
            </w:r>
          </w:p>
        </w:tc>
        <w:tc>
          <w:tcPr>
            <w:tcW w:w="2448" w:type="dxa"/>
            <w:tcBorders>
              <w:top w:val="single" w:sz="4" w:space="0" w:color="000000"/>
              <w:left w:val="single" w:sz="4" w:space="0" w:color="000000"/>
              <w:bottom w:val="single" w:sz="4" w:space="0" w:color="000000"/>
              <w:right w:val="single" w:sz="4" w:space="0" w:color="000000"/>
            </w:tcBorders>
            <w:hideMark/>
          </w:tcPr>
          <w:p w14:paraId="44AACAF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lastRenderedPageBreak/>
              <w:t xml:space="preserve">Can handle a broad class of CFGs, but ambiguous grammars </w:t>
            </w:r>
            <w:r w:rsidRPr="004F661A">
              <w:rPr>
                <w:rFonts w:ascii="Times New Roman" w:hAnsi="Times New Roman" w:cs="Times New Roman"/>
              </w:rPr>
              <w:lastRenderedPageBreak/>
              <w:t>can still cause conflicts.</w:t>
            </w:r>
          </w:p>
        </w:tc>
      </w:tr>
      <w:tr w:rsidR="00080A67" w:rsidRPr="004F661A" w14:paraId="0CA79C25" w14:textId="77777777">
        <w:tc>
          <w:tcPr>
            <w:tcW w:w="2448" w:type="dxa"/>
            <w:tcBorders>
              <w:top w:val="single" w:sz="4" w:space="0" w:color="000000"/>
              <w:left w:val="single" w:sz="4" w:space="0" w:color="000000"/>
              <w:bottom w:val="single" w:sz="4" w:space="0" w:color="000000"/>
              <w:right w:val="single" w:sz="4" w:space="0" w:color="000000"/>
            </w:tcBorders>
            <w:hideMark/>
          </w:tcPr>
          <w:p w14:paraId="704159C6"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lastRenderedPageBreak/>
              <w:t>Grammar expressiveness</w:t>
            </w:r>
          </w:p>
        </w:tc>
        <w:tc>
          <w:tcPr>
            <w:tcW w:w="2448" w:type="dxa"/>
            <w:tcBorders>
              <w:top w:val="single" w:sz="4" w:space="0" w:color="000000"/>
              <w:left w:val="single" w:sz="4" w:space="0" w:color="000000"/>
              <w:bottom w:val="single" w:sz="4" w:space="0" w:color="000000"/>
              <w:right w:val="single" w:sz="4" w:space="0" w:color="000000"/>
            </w:tcBorders>
            <w:hideMark/>
          </w:tcPr>
          <w:p w14:paraId="161E03C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Convenient for ordered recognition rules and lookahead predicates.</w:t>
            </w:r>
          </w:p>
        </w:tc>
        <w:tc>
          <w:tcPr>
            <w:tcW w:w="2448" w:type="dxa"/>
            <w:tcBorders>
              <w:top w:val="single" w:sz="4" w:space="0" w:color="000000"/>
              <w:left w:val="single" w:sz="4" w:space="0" w:color="000000"/>
              <w:bottom w:val="single" w:sz="4" w:space="0" w:color="000000"/>
              <w:right w:val="single" w:sz="4" w:space="0" w:color="000000"/>
            </w:tcBorders>
            <w:hideMark/>
          </w:tcPr>
          <w:p w14:paraId="1882E2A6"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Works best with LL-compatible grammars, often after left-recursion removal and left factoring.</w:t>
            </w:r>
          </w:p>
        </w:tc>
        <w:tc>
          <w:tcPr>
            <w:tcW w:w="2448" w:type="dxa"/>
            <w:tcBorders>
              <w:top w:val="single" w:sz="4" w:space="0" w:color="000000"/>
              <w:left w:val="single" w:sz="4" w:space="0" w:color="000000"/>
              <w:bottom w:val="single" w:sz="4" w:space="0" w:color="000000"/>
              <w:right w:val="single" w:sz="4" w:space="0" w:color="000000"/>
            </w:tcBorders>
            <w:hideMark/>
          </w:tcPr>
          <w:p w14:paraId="703DC47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Handles a larger class of CFGs than LL, including many left-recursive grammars.</w:t>
            </w:r>
          </w:p>
        </w:tc>
      </w:tr>
      <w:tr w:rsidR="00080A67" w:rsidRPr="004F661A" w14:paraId="1C23C6F3" w14:textId="77777777">
        <w:tc>
          <w:tcPr>
            <w:tcW w:w="2448" w:type="dxa"/>
            <w:tcBorders>
              <w:top w:val="single" w:sz="4" w:space="0" w:color="000000"/>
              <w:left w:val="single" w:sz="4" w:space="0" w:color="000000"/>
              <w:bottom w:val="single" w:sz="4" w:space="0" w:color="000000"/>
              <w:right w:val="single" w:sz="4" w:space="0" w:color="000000"/>
            </w:tcBorders>
            <w:hideMark/>
          </w:tcPr>
          <w:p w14:paraId="151DFBD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Implementation</w:t>
            </w:r>
          </w:p>
        </w:tc>
        <w:tc>
          <w:tcPr>
            <w:tcW w:w="2448" w:type="dxa"/>
            <w:tcBorders>
              <w:top w:val="single" w:sz="4" w:space="0" w:color="000000"/>
              <w:left w:val="single" w:sz="4" w:space="0" w:color="000000"/>
              <w:bottom w:val="single" w:sz="4" w:space="0" w:color="000000"/>
              <w:right w:val="single" w:sz="4" w:space="0" w:color="000000"/>
            </w:tcBorders>
            <w:hideMark/>
          </w:tcPr>
          <w:p w14:paraId="3A53ADD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Can be implemented using recursive-descent-style procedures and memoization.</w:t>
            </w:r>
          </w:p>
        </w:tc>
        <w:tc>
          <w:tcPr>
            <w:tcW w:w="2448" w:type="dxa"/>
            <w:tcBorders>
              <w:top w:val="single" w:sz="4" w:space="0" w:color="000000"/>
              <w:left w:val="single" w:sz="4" w:space="0" w:color="000000"/>
              <w:bottom w:val="single" w:sz="4" w:space="0" w:color="000000"/>
              <w:right w:val="single" w:sz="4" w:space="0" w:color="000000"/>
            </w:tcBorders>
            <w:hideMark/>
          </w:tcPr>
          <w:p w14:paraId="373FF9A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Predictive parsers are straightforward when a parsing table has no conflicts.</w:t>
            </w:r>
          </w:p>
        </w:tc>
        <w:tc>
          <w:tcPr>
            <w:tcW w:w="2448" w:type="dxa"/>
            <w:tcBorders>
              <w:top w:val="single" w:sz="4" w:space="0" w:color="000000"/>
              <w:left w:val="single" w:sz="4" w:space="0" w:color="000000"/>
              <w:bottom w:val="single" w:sz="4" w:space="0" w:color="000000"/>
              <w:right w:val="single" w:sz="4" w:space="0" w:color="000000"/>
            </w:tcBorders>
            <w:hideMark/>
          </w:tcPr>
          <w:p w14:paraId="2C5A380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Table construction and parser implementation are generally more involved.</w:t>
            </w:r>
          </w:p>
        </w:tc>
      </w:tr>
      <w:tr w:rsidR="00080A67" w:rsidRPr="004F661A" w14:paraId="04992BDF" w14:textId="77777777">
        <w:tc>
          <w:tcPr>
            <w:tcW w:w="2448" w:type="dxa"/>
            <w:tcBorders>
              <w:top w:val="single" w:sz="4" w:space="0" w:color="000000"/>
              <w:left w:val="single" w:sz="4" w:space="0" w:color="000000"/>
              <w:bottom w:val="single" w:sz="4" w:space="0" w:color="000000"/>
              <w:right w:val="single" w:sz="4" w:space="0" w:color="000000"/>
            </w:tcBorders>
            <w:hideMark/>
          </w:tcPr>
          <w:p w14:paraId="2394156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Performance</w:t>
            </w:r>
          </w:p>
        </w:tc>
        <w:tc>
          <w:tcPr>
            <w:tcW w:w="2448" w:type="dxa"/>
            <w:tcBorders>
              <w:top w:val="single" w:sz="4" w:space="0" w:color="000000"/>
              <w:left w:val="single" w:sz="4" w:space="0" w:color="000000"/>
              <w:bottom w:val="single" w:sz="4" w:space="0" w:color="000000"/>
              <w:right w:val="single" w:sz="4" w:space="0" w:color="000000"/>
            </w:tcBorders>
            <w:hideMark/>
          </w:tcPr>
          <w:p w14:paraId="03068C1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Can be efficient; naive backtracking may repeat work. Packrat parsing uses memoization to provide linear-time parsing for a fixed grammar, with memory costs.</w:t>
            </w:r>
          </w:p>
        </w:tc>
        <w:tc>
          <w:tcPr>
            <w:tcW w:w="2448" w:type="dxa"/>
            <w:tcBorders>
              <w:top w:val="single" w:sz="4" w:space="0" w:color="000000"/>
              <w:left w:val="single" w:sz="4" w:space="0" w:color="000000"/>
              <w:bottom w:val="single" w:sz="4" w:space="0" w:color="000000"/>
              <w:right w:val="single" w:sz="4" w:space="0" w:color="000000"/>
            </w:tcBorders>
            <w:hideMark/>
          </w:tcPr>
          <w:p w14:paraId="2D39A04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LL(1) parsing is typically linear in input length and avoids backtracking.</w:t>
            </w:r>
          </w:p>
        </w:tc>
        <w:tc>
          <w:tcPr>
            <w:tcW w:w="2448" w:type="dxa"/>
            <w:tcBorders>
              <w:top w:val="single" w:sz="4" w:space="0" w:color="000000"/>
              <w:left w:val="single" w:sz="4" w:space="0" w:color="000000"/>
              <w:bottom w:val="single" w:sz="4" w:space="0" w:color="000000"/>
              <w:right w:val="single" w:sz="4" w:space="0" w:color="000000"/>
            </w:tcBorders>
            <w:hideMark/>
          </w:tcPr>
          <w:p w14:paraId="16C7A88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Deterministic LR parsing is typically linear in input length, with table-construction complexity.</w:t>
            </w:r>
          </w:p>
        </w:tc>
      </w:tr>
      <w:tr w:rsidR="00080A67" w:rsidRPr="004F661A" w14:paraId="274467D1" w14:textId="77777777">
        <w:tc>
          <w:tcPr>
            <w:tcW w:w="2448" w:type="dxa"/>
            <w:tcBorders>
              <w:top w:val="single" w:sz="4" w:space="0" w:color="000000"/>
              <w:left w:val="single" w:sz="4" w:space="0" w:color="000000"/>
              <w:bottom w:val="single" w:sz="4" w:space="0" w:color="000000"/>
              <w:right w:val="single" w:sz="4" w:space="0" w:color="000000"/>
            </w:tcBorders>
            <w:hideMark/>
          </w:tcPr>
          <w:p w14:paraId="0334C1E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Backtracking</w:t>
            </w:r>
          </w:p>
        </w:tc>
        <w:tc>
          <w:tcPr>
            <w:tcW w:w="2448" w:type="dxa"/>
            <w:tcBorders>
              <w:top w:val="single" w:sz="4" w:space="0" w:color="000000"/>
              <w:left w:val="single" w:sz="4" w:space="0" w:color="000000"/>
              <w:bottom w:val="single" w:sz="4" w:space="0" w:color="000000"/>
              <w:right w:val="single" w:sz="4" w:space="0" w:color="000000"/>
            </w:tcBorders>
            <w:hideMark/>
          </w:tcPr>
          <w:p w14:paraId="19FFCE7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May backtrack when a choice fails; predicates can help control recognition.</w:t>
            </w:r>
          </w:p>
        </w:tc>
        <w:tc>
          <w:tcPr>
            <w:tcW w:w="2448" w:type="dxa"/>
            <w:tcBorders>
              <w:top w:val="single" w:sz="4" w:space="0" w:color="000000"/>
              <w:left w:val="single" w:sz="4" w:space="0" w:color="000000"/>
              <w:bottom w:val="single" w:sz="4" w:space="0" w:color="000000"/>
              <w:right w:val="single" w:sz="4" w:space="0" w:color="000000"/>
            </w:tcBorders>
            <w:hideMark/>
          </w:tcPr>
          <w:p w14:paraId="05A0049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 table-driven LL(1) parser does not backtrack.</w:t>
            </w:r>
          </w:p>
        </w:tc>
        <w:tc>
          <w:tcPr>
            <w:tcW w:w="2448" w:type="dxa"/>
            <w:tcBorders>
              <w:top w:val="single" w:sz="4" w:space="0" w:color="000000"/>
              <w:left w:val="single" w:sz="4" w:space="0" w:color="000000"/>
              <w:bottom w:val="single" w:sz="4" w:space="0" w:color="000000"/>
              <w:right w:val="single" w:sz="4" w:space="0" w:color="000000"/>
            </w:tcBorders>
            <w:hideMark/>
          </w:tcPr>
          <w:p w14:paraId="66DC2A0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 standard deterministic LR parser does not backtrack.</w:t>
            </w:r>
          </w:p>
        </w:tc>
      </w:tr>
    </w:tbl>
    <w:p w14:paraId="6241620B" w14:textId="77777777" w:rsidR="004F661A" w:rsidRDefault="004F661A" w:rsidP="00080A67">
      <w:pPr>
        <w:rPr>
          <w:rFonts w:ascii="Times New Roman" w:hAnsi="Times New Roman" w:cs="Times New Roman"/>
          <w:b/>
          <w:bCs/>
        </w:rPr>
      </w:pPr>
    </w:p>
    <w:p w14:paraId="064F95A5" w14:textId="2541A41B" w:rsidR="00080A67" w:rsidRPr="004F661A" w:rsidRDefault="00080A67" w:rsidP="00080A67">
      <w:pPr>
        <w:rPr>
          <w:rFonts w:ascii="Times New Roman" w:hAnsi="Times New Roman" w:cs="Times New Roman"/>
        </w:rPr>
      </w:pPr>
      <w:r w:rsidRPr="004F661A">
        <w:rPr>
          <w:rFonts w:ascii="Times New Roman" w:hAnsi="Times New Roman" w:cs="Times New Roman"/>
          <w:b/>
          <w:bCs/>
        </w:rPr>
        <w:t>4. Real-World Use: Python</w:t>
      </w:r>
    </w:p>
    <w:p w14:paraId="362C90D1"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Python adopted a PEG-based parser in Python 3.9, replacing its older LL(1)-based parser. PEG allowed the grammar to express some language constructs more naturally and reduced the need to reshape the grammar solely to satisfy LL(1) restrictions. It also made future grammar changes easier to express. The choice was not that PEG is universally superior, but that its trade-offs suited Python’s language-development needs.</w:t>
      </w:r>
    </w:p>
    <w:p w14:paraId="66BC6C67"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5. Limitations of PEG</w:t>
      </w:r>
    </w:p>
    <w:p w14:paraId="65979A63" w14:textId="77777777" w:rsidR="00080A67" w:rsidRPr="004F661A" w:rsidRDefault="00080A67" w:rsidP="00A5478D">
      <w:pPr>
        <w:pStyle w:val="ListParagraph"/>
        <w:numPr>
          <w:ilvl w:val="0"/>
          <w:numId w:val="1"/>
        </w:numPr>
        <w:jc w:val="both"/>
        <w:rPr>
          <w:rFonts w:ascii="Times New Roman" w:hAnsi="Times New Roman" w:cs="Times New Roman"/>
        </w:rPr>
      </w:pPr>
      <w:r w:rsidRPr="004F661A">
        <w:rPr>
          <w:rFonts w:ascii="Times New Roman" w:hAnsi="Times New Roman" w:cs="Times New Roman"/>
        </w:rPr>
        <w:lastRenderedPageBreak/>
        <w:t>Ordered choice is significant: changing the order of alternatives may change the parse result.</w:t>
      </w:r>
    </w:p>
    <w:p w14:paraId="040AA22F" w14:textId="77777777" w:rsidR="00080A67" w:rsidRPr="004F661A" w:rsidRDefault="00080A67" w:rsidP="00A5478D">
      <w:pPr>
        <w:pStyle w:val="ListParagraph"/>
        <w:numPr>
          <w:ilvl w:val="0"/>
          <w:numId w:val="1"/>
        </w:numPr>
        <w:jc w:val="both"/>
        <w:rPr>
          <w:rFonts w:ascii="Times New Roman" w:hAnsi="Times New Roman" w:cs="Times New Roman"/>
        </w:rPr>
      </w:pPr>
      <w:r w:rsidRPr="004F661A">
        <w:rPr>
          <w:rFonts w:ascii="Times New Roman" w:hAnsi="Times New Roman" w:cs="Times New Roman"/>
        </w:rPr>
        <w:t>Naive backtracking can repeat work and may be inefficient for poorly designed grammars.</w:t>
      </w:r>
    </w:p>
    <w:p w14:paraId="26FC8CDD" w14:textId="77777777" w:rsidR="00080A67" w:rsidRPr="004F661A" w:rsidRDefault="00080A67" w:rsidP="00A5478D">
      <w:pPr>
        <w:pStyle w:val="ListParagraph"/>
        <w:numPr>
          <w:ilvl w:val="0"/>
          <w:numId w:val="1"/>
        </w:numPr>
        <w:jc w:val="both"/>
        <w:rPr>
          <w:rFonts w:ascii="Times New Roman" w:hAnsi="Times New Roman" w:cs="Times New Roman"/>
        </w:rPr>
      </w:pPr>
      <w:r w:rsidRPr="004F661A">
        <w:rPr>
          <w:rFonts w:ascii="Times New Roman" w:hAnsi="Times New Roman" w:cs="Times New Roman"/>
        </w:rPr>
        <w:t>Packrat parsing can avoid repeated work but may use substantial memory because results are memoized.</w:t>
      </w:r>
    </w:p>
    <w:p w14:paraId="41B4BF12" w14:textId="77777777" w:rsidR="00080A67" w:rsidRPr="004F661A" w:rsidRDefault="00080A67" w:rsidP="00A5478D">
      <w:pPr>
        <w:pStyle w:val="ListParagraph"/>
        <w:numPr>
          <w:ilvl w:val="0"/>
          <w:numId w:val="1"/>
        </w:numPr>
        <w:jc w:val="both"/>
        <w:rPr>
          <w:rFonts w:ascii="Times New Roman" w:hAnsi="Times New Roman" w:cs="Times New Roman"/>
        </w:rPr>
      </w:pPr>
      <w:r w:rsidRPr="004F661A">
        <w:rPr>
          <w:rFonts w:ascii="Times New Roman" w:hAnsi="Times New Roman" w:cs="Times New Roman"/>
        </w:rPr>
        <w:t>Left recursion is not supported by many basic PEG implementations without special handling or extensions.</w:t>
      </w:r>
    </w:p>
    <w:p w14:paraId="4E12E5A3" w14:textId="77777777" w:rsidR="00080A67" w:rsidRPr="004F661A" w:rsidRDefault="00080A67" w:rsidP="00A5478D">
      <w:pPr>
        <w:pStyle w:val="ListParagraph"/>
        <w:numPr>
          <w:ilvl w:val="0"/>
          <w:numId w:val="1"/>
        </w:numPr>
        <w:jc w:val="both"/>
        <w:rPr>
          <w:rFonts w:ascii="Times New Roman" w:hAnsi="Times New Roman" w:cs="Times New Roman"/>
        </w:rPr>
      </w:pPr>
      <w:r w:rsidRPr="004F661A">
        <w:rPr>
          <w:rFonts w:ascii="Times New Roman" w:hAnsi="Times New Roman" w:cs="Times New Roman"/>
        </w:rPr>
        <w:t>Because PEG choices are prioritized, a grammar writer must understand the order and scope of alternatives carefully.</w:t>
      </w:r>
    </w:p>
    <w:p w14:paraId="46007EB9"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6. Conclusion</w:t>
      </w:r>
    </w:p>
    <w:p w14:paraId="1C0A5740"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PEG is an effective option when a language needs flexible recognition rules, clear prioritized choices, and a grammar that is easy to evolve. LL parsers are attractive for simple predictive grammars, while LR parsers are strong choices for broad context-free syntax and deterministic bottom-up parsing. PEG is therefore suitable for many practical language tools, but it is not automatically the best choice for every programming language. The decision should consider grammar structure, performance, memory, tooling, and maintenance.</w:t>
      </w:r>
    </w:p>
    <w:p w14:paraId="72B6520F" w14:textId="77777777" w:rsidR="004F661A" w:rsidRDefault="004F661A" w:rsidP="00080A67">
      <w:pPr>
        <w:rPr>
          <w:rFonts w:ascii="Times New Roman" w:hAnsi="Times New Roman" w:cs="Times New Roman"/>
        </w:rPr>
      </w:pPr>
    </w:p>
    <w:p w14:paraId="530C65EB" w14:textId="6658AB73" w:rsidR="00080A67" w:rsidRPr="004F661A" w:rsidRDefault="00080A67" w:rsidP="00080A67">
      <w:pPr>
        <w:rPr>
          <w:rFonts w:ascii="Times New Roman" w:hAnsi="Times New Roman" w:cs="Times New Roman"/>
        </w:rPr>
      </w:pPr>
      <w:r w:rsidRPr="004F661A">
        <w:rPr>
          <w:rFonts w:ascii="Times New Roman" w:hAnsi="Times New Roman" w:cs="Times New Roman"/>
          <w:b/>
          <w:bCs/>
        </w:rPr>
        <w:t>QUESTION 10: Design a Hybrid Parsing Strategy</w:t>
      </w:r>
    </w:p>
    <w:p w14:paraId="1DAED3F8"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1. Introduction</w:t>
      </w:r>
    </w:p>
    <w:p w14:paraId="5706A4A3"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A hybrid parser combines two parsing techniques so that each is used where it is most effective. An LL(1) parser is suitable for simple constructs that can be selected using one lookahead token, while an LR parser can handle more complex constructs, including left-recursive expression grammars. The goal is to keep the parser understandable without sacrificing the ability to process complex syntax.</w:t>
      </w:r>
    </w:p>
    <w:p w14:paraId="34E6EF5C"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2. Proposed Design</w:t>
      </w:r>
    </w:p>
    <w:p w14:paraId="1A7976B7"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The proposed compiler front-end uses an LL(1) parser for declarations, simple statements, and predictable program structure. An LR parser is used for expression parsing, where operator precedence and left-recursive forms are common. A lexer supplies tokens to the front-end, and a dispatcher sends each construct to the appropriate parser. Both parsers produce compatible syntax-tree nodes.</w:t>
      </w:r>
    </w:p>
    <w:p w14:paraId="40CBF93C"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3. Division of Work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23"/>
        <w:gridCol w:w="3106"/>
        <w:gridCol w:w="3121"/>
      </w:tblGrid>
      <w:tr w:rsidR="00080A67" w:rsidRPr="004F661A" w14:paraId="299CF64A" w14:textId="77777777">
        <w:tc>
          <w:tcPr>
            <w:tcW w:w="3264" w:type="dxa"/>
            <w:tcBorders>
              <w:top w:val="single" w:sz="4" w:space="0" w:color="000000"/>
              <w:left w:val="single" w:sz="4" w:space="0" w:color="000000"/>
              <w:bottom w:val="single" w:sz="4" w:space="0" w:color="000000"/>
              <w:right w:val="single" w:sz="4" w:space="0" w:color="000000"/>
            </w:tcBorders>
            <w:hideMark/>
          </w:tcPr>
          <w:p w14:paraId="6C2559D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Component</w:t>
            </w:r>
          </w:p>
        </w:tc>
        <w:tc>
          <w:tcPr>
            <w:tcW w:w="3264" w:type="dxa"/>
            <w:tcBorders>
              <w:top w:val="single" w:sz="4" w:space="0" w:color="000000"/>
              <w:left w:val="single" w:sz="4" w:space="0" w:color="000000"/>
              <w:bottom w:val="single" w:sz="4" w:space="0" w:color="000000"/>
              <w:right w:val="single" w:sz="4" w:space="0" w:color="000000"/>
            </w:tcBorders>
            <w:hideMark/>
          </w:tcPr>
          <w:p w14:paraId="6FF3C41F"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Technique</w:t>
            </w:r>
          </w:p>
        </w:tc>
        <w:tc>
          <w:tcPr>
            <w:tcW w:w="3264" w:type="dxa"/>
            <w:tcBorders>
              <w:top w:val="single" w:sz="4" w:space="0" w:color="000000"/>
              <w:left w:val="single" w:sz="4" w:space="0" w:color="000000"/>
              <w:bottom w:val="single" w:sz="4" w:space="0" w:color="000000"/>
              <w:right w:val="single" w:sz="4" w:space="0" w:color="000000"/>
            </w:tcBorders>
            <w:hideMark/>
          </w:tcPr>
          <w:p w14:paraId="75B7DCC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Reason</w:t>
            </w:r>
          </w:p>
        </w:tc>
      </w:tr>
      <w:tr w:rsidR="00080A67" w:rsidRPr="004F661A" w14:paraId="5DA653A0" w14:textId="77777777">
        <w:tc>
          <w:tcPr>
            <w:tcW w:w="3264" w:type="dxa"/>
            <w:tcBorders>
              <w:top w:val="single" w:sz="4" w:space="0" w:color="000000"/>
              <w:left w:val="single" w:sz="4" w:space="0" w:color="000000"/>
              <w:bottom w:val="single" w:sz="4" w:space="0" w:color="000000"/>
              <w:right w:val="single" w:sz="4" w:space="0" w:color="000000"/>
            </w:tcBorders>
            <w:hideMark/>
          </w:tcPr>
          <w:p w14:paraId="05A1397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lastRenderedPageBreak/>
              <w:t>Lexical analysis</w:t>
            </w:r>
          </w:p>
        </w:tc>
        <w:tc>
          <w:tcPr>
            <w:tcW w:w="3264" w:type="dxa"/>
            <w:tcBorders>
              <w:top w:val="single" w:sz="4" w:space="0" w:color="000000"/>
              <w:left w:val="single" w:sz="4" w:space="0" w:color="000000"/>
              <w:bottom w:val="single" w:sz="4" w:space="0" w:color="000000"/>
              <w:right w:val="single" w:sz="4" w:space="0" w:color="000000"/>
            </w:tcBorders>
            <w:hideMark/>
          </w:tcPr>
          <w:p w14:paraId="1525859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Lexer</w:t>
            </w:r>
          </w:p>
        </w:tc>
        <w:tc>
          <w:tcPr>
            <w:tcW w:w="3264" w:type="dxa"/>
            <w:tcBorders>
              <w:top w:val="single" w:sz="4" w:space="0" w:color="000000"/>
              <w:left w:val="single" w:sz="4" w:space="0" w:color="000000"/>
              <w:bottom w:val="single" w:sz="4" w:space="0" w:color="000000"/>
              <w:right w:val="single" w:sz="4" w:space="0" w:color="000000"/>
            </w:tcBorders>
            <w:hideMark/>
          </w:tcPr>
          <w:p w14:paraId="5B83782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Converts characters into tokens such as id, +, *, (, and ).</w:t>
            </w:r>
          </w:p>
        </w:tc>
      </w:tr>
      <w:tr w:rsidR="00080A67" w:rsidRPr="004F661A" w14:paraId="4F92E36B" w14:textId="77777777">
        <w:tc>
          <w:tcPr>
            <w:tcW w:w="3264" w:type="dxa"/>
            <w:tcBorders>
              <w:top w:val="single" w:sz="4" w:space="0" w:color="000000"/>
              <w:left w:val="single" w:sz="4" w:space="0" w:color="000000"/>
              <w:bottom w:val="single" w:sz="4" w:space="0" w:color="000000"/>
              <w:right w:val="single" w:sz="4" w:space="0" w:color="000000"/>
            </w:tcBorders>
            <w:hideMark/>
          </w:tcPr>
          <w:p w14:paraId="50E315F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Declarations and simple statements</w:t>
            </w:r>
          </w:p>
        </w:tc>
        <w:tc>
          <w:tcPr>
            <w:tcW w:w="3264" w:type="dxa"/>
            <w:tcBorders>
              <w:top w:val="single" w:sz="4" w:space="0" w:color="000000"/>
              <w:left w:val="single" w:sz="4" w:space="0" w:color="000000"/>
              <w:bottom w:val="single" w:sz="4" w:space="0" w:color="000000"/>
              <w:right w:val="single" w:sz="4" w:space="0" w:color="000000"/>
            </w:tcBorders>
            <w:hideMark/>
          </w:tcPr>
          <w:p w14:paraId="32CD78D9"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LL(1)</w:t>
            </w:r>
          </w:p>
        </w:tc>
        <w:tc>
          <w:tcPr>
            <w:tcW w:w="3264" w:type="dxa"/>
            <w:tcBorders>
              <w:top w:val="single" w:sz="4" w:space="0" w:color="000000"/>
              <w:left w:val="single" w:sz="4" w:space="0" w:color="000000"/>
              <w:bottom w:val="single" w:sz="4" w:space="0" w:color="000000"/>
              <w:right w:val="single" w:sz="4" w:space="0" w:color="000000"/>
            </w:tcBorders>
            <w:hideMark/>
          </w:tcPr>
          <w:p w14:paraId="0FA1DC7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The next token often identifies the required production, so table-driven prediction is sufficient.</w:t>
            </w:r>
          </w:p>
        </w:tc>
      </w:tr>
      <w:tr w:rsidR="00080A67" w:rsidRPr="004F661A" w14:paraId="208C28FD" w14:textId="77777777">
        <w:tc>
          <w:tcPr>
            <w:tcW w:w="3264" w:type="dxa"/>
            <w:tcBorders>
              <w:top w:val="single" w:sz="4" w:space="0" w:color="000000"/>
              <w:left w:val="single" w:sz="4" w:space="0" w:color="000000"/>
              <w:bottom w:val="single" w:sz="4" w:space="0" w:color="000000"/>
              <w:right w:val="single" w:sz="4" w:space="0" w:color="000000"/>
            </w:tcBorders>
            <w:hideMark/>
          </w:tcPr>
          <w:p w14:paraId="512B703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Arithmetic expressions</w:t>
            </w:r>
          </w:p>
        </w:tc>
        <w:tc>
          <w:tcPr>
            <w:tcW w:w="3264" w:type="dxa"/>
            <w:tcBorders>
              <w:top w:val="single" w:sz="4" w:space="0" w:color="000000"/>
              <w:left w:val="single" w:sz="4" w:space="0" w:color="000000"/>
              <w:bottom w:val="single" w:sz="4" w:space="0" w:color="000000"/>
              <w:right w:val="single" w:sz="4" w:space="0" w:color="000000"/>
            </w:tcBorders>
            <w:hideMark/>
          </w:tcPr>
          <w:p w14:paraId="0A7BC5FF"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LR</w:t>
            </w:r>
          </w:p>
        </w:tc>
        <w:tc>
          <w:tcPr>
            <w:tcW w:w="3264" w:type="dxa"/>
            <w:tcBorders>
              <w:top w:val="single" w:sz="4" w:space="0" w:color="000000"/>
              <w:left w:val="single" w:sz="4" w:space="0" w:color="000000"/>
              <w:bottom w:val="single" w:sz="4" w:space="0" w:color="000000"/>
              <w:right w:val="single" w:sz="4" w:space="0" w:color="000000"/>
            </w:tcBorders>
            <w:hideMark/>
          </w:tcPr>
          <w:p w14:paraId="496771F9"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Bottom-up parsing handles expression structures and precedence more naturally.</w:t>
            </w:r>
          </w:p>
        </w:tc>
      </w:tr>
      <w:tr w:rsidR="00080A67" w:rsidRPr="004F661A" w14:paraId="5A8C5844" w14:textId="77777777">
        <w:tc>
          <w:tcPr>
            <w:tcW w:w="3264" w:type="dxa"/>
            <w:tcBorders>
              <w:top w:val="single" w:sz="4" w:space="0" w:color="000000"/>
              <w:left w:val="single" w:sz="4" w:space="0" w:color="000000"/>
              <w:bottom w:val="single" w:sz="4" w:space="0" w:color="000000"/>
              <w:right w:val="single" w:sz="4" w:space="0" w:color="000000"/>
            </w:tcBorders>
            <w:hideMark/>
          </w:tcPr>
          <w:p w14:paraId="3C0D28F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Syntax-tree construction</w:t>
            </w:r>
          </w:p>
        </w:tc>
        <w:tc>
          <w:tcPr>
            <w:tcW w:w="3264" w:type="dxa"/>
            <w:tcBorders>
              <w:top w:val="single" w:sz="4" w:space="0" w:color="000000"/>
              <w:left w:val="single" w:sz="4" w:space="0" w:color="000000"/>
              <w:bottom w:val="single" w:sz="4" w:space="0" w:color="000000"/>
              <w:right w:val="single" w:sz="4" w:space="0" w:color="000000"/>
            </w:tcBorders>
            <w:hideMark/>
          </w:tcPr>
          <w:p w14:paraId="5FEA126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Shared AST interface</w:t>
            </w:r>
          </w:p>
        </w:tc>
        <w:tc>
          <w:tcPr>
            <w:tcW w:w="3264" w:type="dxa"/>
            <w:tcBorders>
              <w:top w:val="single" w:sz="4" w:space="0" w:color="000000"/>
              <w:left w:val="single" w:sz="4" w:space="0" w:color="000000"/>
              <w:bottom w:val="single" w:sz="4" w:space="0" w:color="000000"/>
              <w:right w:val="single" w:sz="4" w:space="0" w:color="000000"/>
            </w:tcBorders>
            <w:hideMark/>
          </w:tcPr>
          <w:p w14:paraId="31D1D95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Allows later compiler stages to process all parsed constructs consistently.</w:t>
            </w:r>
          </w:p>
        </w:tc>
      </w:tr>
      <w:tr w:rsidR="00080A67" w:rsidRPr="004F661A" w14:paraId="74FE37D5" w14:textId="77777777">
        <w:tc>
          <w:tcPr>
            <w:tcW w:w="3264" w:type="dxa"/>
            <w:tcBorders>
              <w:top w:val="single" w:sz="4" w:space="0" w:color="000000"/>
              <w:left w:val="single" w:sz="4" w:space="0" w:color="000000"/>
              <w:bottom w:val="single" w:sz="4" w:space="0" w:color="000000"/>
              <w:right w:val="single" w:sz="4" w:space="0" w:color="000000"/>
            </w:tcBorders>
            <w:hideMark/>
          </w:tcPr>
          <w:p w14:paraId="55230B3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Error reporting</w:t>
            </w:r>
          </w:p>
        </w:tc>
        <w:tc>
          <w:tcPr>
            <w:tcW w:w="3264" w:type="dxa"/>
            <w:tcBorders>
              <w:top w:val="single" w:sz="4" w:space="0" w:color="000000"/>
              <w:left w:val="single" w:sz="4" w:space="0" w:color="000000"/>
              <w:bottom w:val="single" w:sz="4" w:space="0" w:color="000000"/>
              <w:right w:val="single" w:sz="4" w:space="0" w:color="000000"/>
            </w:tcBorders>
            <w:hideMark/>
          </w:tcPr>
          <w:p w14:paraId="3C72D12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Shared error handler</w:t>
            </w:r>
          </w:p>
        </w:tc>
        <w:tc>
          <w:tcPr>
            <w:tcW w:w="3264" w:type="dxa"/>
            <w:tcBorders>
              <w:top w:val="single" w:sz="4" w:space="0" w:color="000000"/>
              <w:left w:val="single" w:sz="4" w:space="0" w:color="000000"/>
              <w:bottom w:val="single" w:sz="4" w:space="0" w:color="000000"/>
              <w:right w:val="single" w:sz="4" w:space="0" w:color="000000"/>
            </w:tcBorders>
            <w:hideMark/>
          </w:tcPr>
          <w:p w14:paraId="1BCF265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Reports the token, location, and expected construct in a consistent format.</w:t>
            </w:r>
          </w:p>
        </w:tc>
      </w:tr>
    </w:tbl>
    <w:p w14:paraId="0DB7120A" w14:textId="77777777" w:rsidR="004F661A" w:rsidRDefault="004F661A" w:rsidP="00080A67">
      <w:pPr>
        <w:rPr>
          <w:rFonts w:ascii="Times New Roman" w:hAnsi="Times New Roman" w:cs="Times New Roman"/>
          <w:b/>
          <w:bCs/>
        </w:rPr>
      </w:pPr>
    </w:p>
    <w:p w14:paraId="57B0E5FB" w14:textId="5777103E" w:rsidR="00080A67" w:rsidRPr="004F661A" w:rsidRDefault="00080A67" w:rsidP="00080A67">
      <w:pPr>
        <w:rPr>
          <w:rFonts w:ascii="Times New Roman" w:hAnsi="Times New Roman" w:cs="Times New Roman"/>
        </w:rPr>
      </w:pPr>
      <w:r w:rsidRPr="004F661A">
        <w:rPr>
          <w:rFonts w:ascii="Times New Roman" w:hAnsi="Times New Roman" w:cs="Times New Roman"/>
          <w:b/>
          <w:bCs/>
        </w:rPr>
        <w:t>4. Grammar Transformations Required</w:t>
      </w:r>
    </w:p>
    <w:p w14:paraId="3873B4E9"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The LL(1) portion must have no left recursion and should be left-factored where alternatives share a prefix. Its FIRST and FOLLOW sets must produce a predictive table with no multiply defined cells. The LR expression portion may retain left-recursive expression productions, but precedence and associativity must be defined so that conflicts are resolved consistently.</w:t>
      </w:r>
    </w:p>
    <w:p w14:paraId="49F0299B"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For example, an expression grammar can be written as E → E + E | E * E | id when the LR parser is configured with * higher than + and both operators left-associative. A more explicit layered grammar can also encode precedence directly.</w:t>
      </w:r>
    </w:p>
    <w:p w14:paraId="1D790CC8"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5. Parsing Workflow</w:t>
      </w:r>
    </w:p>
    <w:p w14:paraId="47EC1698"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The lexer reads the source characters and generates a token stream.</w:t>
      </w:r>
    </w:p>
    <w:p w14:paraId="472B9910"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The dispatcher identifies whether the next construct is a declaration/simple statement or an expression.</w:t>
      </w:r>
    </w:p>
    <w:p w14:paraId="6E9BDE77"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The LL(1) parser handles predictable constructs using its parsing table.</w:t>
      </w:r>
    </w:p>
    <w:p w14:paraId="6CB26B65"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When an expression is encountered, the LR parser consumes the expression tokens and applies shift/reduce actions.</w:t>
      </w:r>
    </w:p>
    <w:p w14:paraId="13CEFEC0"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Both parsers return syntax-tree nodes to a shared syntax tree.</w:t>
      </w:r>
    </w:p>
    <w:p w14:paraId="070FC560" w14:textId="77777777" w:rsidR="00080A67" w:rsidRPr="00180D80" w:rsidRDefault="00080A67" w:rsidP="00A5478D">
      <w:pPr>
        <w:pStyle w:val="ListParagraph"/>
        <w:numPr>
          <w:ilvl w:val="0"/>
          <w:numId w:val="2"/>
        </w:numPr>
        <w:jc w:val="both"/>
        <w:rPr>
          <w:rFonts w:ascii="Times New Roman" w:hAnsi="Times New Roman" w:cs="Times New Roman"/>
        </w:rPr>
      </w:pPr>
      <w:r w:rsidRPr="00180D80">
        <w:rPr>
          <w:rFonts w:ascii="Times New Roman" w:hAnsi="Times New Roman" w:cs="Times New Roman"/>
        </w:rPr>
        <w:t>The error handler reports syntax errors and may synchronize at safe tokens such as semicolons or closing braces.</w:t>
      </w:r>
    </w:p>
    <w:p w14:paraId="2A20F85D" w14:textId="7CC4E9B2" w:rsidR="00080A67" w:rsidRPr="004F661A" w:rsidRDefault="00180D80" w:rsidP="00A5478D">
      <w:pPr>
        <w:jc w:val="both"/>
        <w:rPr>
          <w:rFonts w:ascii="Times New Roman" w:hAnsi="Times New Roman" w:cs="Times New Roman"/>
        </w:rPr>
      </w:pPr>
      <w:r>
        <w:rPr>
          <w:rFonts w:ascii="Times New Roman" w:hAnsi="Times New Roman" w:cs="Times New Roman"/>
          <w:b/>
          <w:bCs/>
        </w:rPr>
        <w:lastRenderedPageBreak/>
        <w:t>6</w:t>
      </w:r>
      <w:r w:rsidR="00080A67" w:rsidRPr="004F661A">
        <w:rPr>
          <w:rFonts w:ascii="Times New Roman" w:hAnsi="Times New Roman" w:cs="Times New Roman"/>
          <w:b/>
          <w:bCs/>
        </w:rPr>
        <w:t>. Sample Input and Demonstration</w:t>
      </w:r>
    </w:p>
    <w:p w14:paraId="4DE4D64F"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Sample input: id + id * id</w:t>
      </w:r>
    </w:p>
    <w:p w14:paraId="5EFE7C53"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The lexer produces the tokens: id, +, id, *, id, $. The dispatcher recognizes an expression and sends it to the LR expression parser. The parser shifts id and reduces it to E. It then shifts + and parses the next id. When * appears, the higher precedence of multiplication causes the parser to shift * rather than reduce E + E. It then parses the final id, reduces E * E first, and finally reduces E + E.</w:t>
      </w:r>
    </w:p>
    <w:p w14:paraId="63F45E02"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The resulting grouping is id + (id * id). The parse is accepted when the input is exhausted and the parser reaches its accepting state. In a full implementation, the expression parser would return an expression node to the shared syntax tree.</w:t>
      </w:r>
    </w:p>
    <w:p w14:paraId="30C7551C" w14:textId="08F64C74" w:rsidR="00080A67" w:rsidRPr="004F661A" w:rsidRDefault="00180D80" w:rsidP="00A5478D">
      <w:pPr>
        <w:jc w:val="both"/>
        <w:rPr>
          <w:rFonts w:ascii="Times New Roman" w:hAnsi="Times New Roman" w:cs="Times New Roman"/>
        </w:rPr>
      </w:pPr>
      <w:r>
        <w:rPr>
          <w:rFonts w:ascii="Times New Roman" w:hAnsi="Times New Roman" w:cs="Times New Roman"/>
          <w:b/>
          <w:bCs/>
        </w:rPr>
        <w:t>7</w:t>
      </w:r>
      <w:r w:rsidR="00080A67" w:rsidRPr="004F661A">
        <w:rPr>
          <w:rFonts w:ascii="Times New Roman" w:hAnsi="Times New Roman" w:cs="Times New Roman"/>
          <w:b/>
          <w:bCs/>
        </w:rPr>
        <w:t>. Advantages and Trade-offs</w:t>
      </w:r>
    </w:p>
    <w:p w14:paraId="6A18D99A"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Efficiency: each parser handles the construct type for which it is suited.</w:t>
      </w:r>
    </w:p>
    <w:p w14:paraId="5660DF42"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Maintainability: the LL(1) grammar remains simple, while complex expression rules are isolated.</w:t>
      </w:r>
    </w:p>
    <w:p w14:paraId="5D61B98C"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Clearer error handling: each parser can report errors in its own domain, with a shared format.</w:t>
      </w:r>
    </w:p>
    <w:p w14:paraId="09181025"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Integration cost: the implementation must define token boundaries, parser handoff rules, and a common syntax-tree representation.</w:t>
      </w:r>
    </w:p>
    <w:p w14:paraId="7B301E93"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Testing burden: parser boundaries and error recovery must be tested carefully to prevent tokens from being consumed twice or skipped.</w:t>
      </w:r>
    </w:p>
    <w:p w14:paraId="0011E405"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9. Conclusion</w:t>
      </w:r>
    </w:p>
    <w:p w14:paraId="4965359C" w14:textId="77777777" w:rsidR="00080A67" w:rsidRDefault="00080A67" w:rsidP="00A5478D">
      <w:pPr>
        <w:jc w:val="both"/>
        <w:rPr>
          <w:rFonts w:ascii="Times New Roman" w:hAnsi="Times New Roman" w:cs="Times New Roman"/>
        </w:rPr>
      </w:pPr>
      <w:r w:rsidRPr="004F661A">
        <w:rPr>
          <w:rFonts w:ascii="Times New Roman" w:hAnsi="Times New Roman" w:cs="Times New Roman"/>
        </w:rPr>
        <w:t>A hybrid LL(1)/LR design is useful when a language contains both predictable constructs and complex expressions. It combines the simplicity of predictive parsing with the broader parsing capability of LR methods. Its success depends on a clear division of responsibility, consistent token handling, a shared syntax-tree interface, and thorough testing.</w:t>
      </w:r>
    </w:p>
    <w:p w14:paraId="75263364" w14:textId="77777777" w:rsidR="00180D80" w:rsidRPr="004F661A" w:rsidRDefault="00180D80" w:rsidP="00080A67">
      <w:pPr>
        <w:rPr>
          <w:rFonts w:ascii="Times New Roman" w:hAnsi="Times New Roman" w:cs="Times New Roman"/>
        </w:rPr>
      </w:pPr>
    </w:p>
    <w:p w14:paraId="3B075534"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QUESTION 12: Develop a New Parsing Algorithm</w:t>
      </w:r>
    </w:p>
    <w:p w14:paraId="235C70AD"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1. Proposed Algorithm: Guided Predictive-Reduction Parser (GPRP)</w:t>
      </w:r>
    </w:p>
    <w:p w14:paraId="2C5B6CF3"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rPr>
        <w:t>This answer proposes a simple hybrid algorithm called the Guided Predictive-Reduction Parser (GPRP). It is a design proposal rather than an established standard parsing algorithm. The idea is to use predictive parsing when one lookahead token uniquely selects a production and to use shift-reduce parsing for expression constructs that need precedence handling.</w:t>
      </w:r>
    </w:p>
    <w:p w14:paraId="4A6F606C"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2. Objectives</w:t>
      </w:r>
    </w:p>
    <w:p w14:paraId="2DD2E747" w14:textId="77777777" w:rsidR="00080A67" w:rsidRPr="00180D80" w:rsidRDefault="00080A67" w:rsidP="00A5478D">
      <w:pPr>
        <w:pStyle w:val="ListParagraph"/>
        <w:numPr>
          <w:ilvl w:val="0"/>
          <w:numId w:val="3"/>
        </w:numPr>
        <w:jc w:val="both"/>
        <w:rPr>
          <w:rFonts w:ascii="Times New Roman" w:hAnsi="Times New Roman" w:cs="Times New Roman"/>
        </w:rPr>
      </w:pPr>
      <w:r w:rsidRPr="00180D80">
        <w:rPr>
          <w:rFonts w:ascii="Times New Roman" w:hAnsi="Times New Roman" w:cs="Times New Roman"/>
        </w:rPr>
        <w:t>Keep simple grammar constructs easy to read and parse.</w:t>
      </w:r>
    </w:p>
    <w:p w14:paraId="0EFF52AE" w14:textId="77777777" w:rsidR="00080A67" w:rsidRPr="00180D80" w:rsidRDefault="00080A67" w:rsidP="00A5478D">
      <w:pPr>
        <w:pStyle w:val="ListParagraph"/>
        <w:numPr>
          <w:ilvl w:val="0"/>
          <w:numId w:val="3"/>
        </w:numPr>
        <w:jc w:val="both"/>
        <w:rPr>
          <w:rFonts w:ascii="Times New Roman" w:hAnsi="Times New Roman" w:cs="Times New Roman"/>
        </w:rPr>
      </w:pPr>
      <w:r w:rsidRPr="00180D80">
        <w:rPr>
          <w:rFonts w:ascii="Times New Roman" w:hAnsi="Times New Roman" w:cs="Times New Roman"/>
        </w:rPr>
        <w:t>Avoid unnecessary backtracking when a predictive decision is available.</w:t>
      </w:r>
    </w:p>
    <w:p w14:paraId="7413A66A" w14:textId="77777777" w:rsidR="00080A67" w:rsidRPr="00180D80" w:rsidRDefault="00080A67" w:rsidP="00A5478D">
      <w:pPr>
        <w:pStyle w:val="ListParagraph"/>
        <w:numPr>
          <w:ilvl w:val="0"/>
          <w:numId w:val="3"/>
        </w:numPr>
        <w:jc w:val="both"/>
        <w:rPr>
          <w:rFonts w:ascii="Times New Roman" w:hAnsi="Times New Roman" w:cs="Times New Roman"/>
        </w:rPr>
      </w:pPr>
      <w:r w:rsidRPr="00180D80">
        <w:rPr>
          <w:rFonts w:ascii="Times New Roman" w:hAnsi="Times New Roman" w:cs="Times New Roman"/>
        </w:rPr>
        <w:lastRenderedPageBreak/>
        <w:t>Handle arithmetic operator precedence using shift-reduce decisions.</w:t>
      </w:r>
    </w:p>
    <w:p w14:paraId="30E41C1B" w14:textId="77777777" w:rsidR="00080A67" w:rsidRPr="00180D80" w:rsidRDefault="00080A67" w:rsidP="00A5478D">
      <w:pPr>
        <w:pStyle w:val="ListParagraph"/>
        <w:numPr>
          <w:ilvl w:val="0"/>
          <w:numId w:val="3"/>
        </w:numPr>
        <w:jc w:val="both"/>
        <w:rPr>
          <w:rFonts w:ascii="Times New Roman" w:hAnsi="Times New Roman" w:cs="Times New Roman"/>
        </w:rPr>
      </w:pPr>
      <w:r w:rsidRPr="00180D80">
        <w:rPr>
          <w:rFonts w:ascii="Times New Roman" w:hAnsi="Times New Roman" w:cs="Times New Roman"/>
        </w:rPr>
        <w:t>Provide clear error messages and a trace of parser actions.</w:t>
      </w:r>
    </w:p>
    <w:p w14:paraId="3A170B5B" w14:textId="77777777" w:rsidR="00080A67" w:rsidRPr="004F661A" w:rsidRDefault="00080A67" w:rsidP="00A5478D">
      <w:pPr>
        <w:jc w:val="both"/>
        <w:rPr>
          <w:rFonts w:ascii="Times New Roman" w:hAnsi="Times New Roman" w:cs="Times New Roman"/>
        </w:rPr>
      </w:pPr>
      <w:r w:rsidRPr="004F661A">
        <w:rPr>
          <w:rFonts w:ascii="Times New Roman" w:hAnsi="Times New Roman" w:cs="Times New Roman"/>
          <w:b/>
          <w:bCs/>
        </w:rPr>
        <w:t>3. Algorithm Steps</w:t>
      </w:r>
    </w:p>
    <w:p w14:paraId="211B69D8"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Tokenize the input using a lexical analyzer and append the end marker $.</w:t>
      </w:r>
    </w:p>
    <w:p w14:paraId="33B83765"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Classify the next construct using its starting token and the grammar’s dispatch rules.</w:t>
      </w:r>
    </w:p>
    <w:p w14:paraId="3D31F2CF"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For LL(1)-compatible constructs, consult the predictive parsing table and expand the selected non-terminal.</w:t>
      </w:r>
    </w:p>
    <w:p w14:paraId="403CD63A"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For expressions, use a stack and shift-reduce actions; compare operator precedence before deciding whether to shift or reduce.</w:t>
      </w:r>
    </w:p>
    <w:p w14:paraId="78F33F8A"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Create syntax-tree nodes during successful reductions or production expansions.</w:t>
      </w:r>
    </w:p>
    <w:p w14:paraId="26D9947C" w14:textId="77777777" w:rsidR="00080A67" w:rsidRPr="00180D80" w:rsidRDefault="00080A67" w:rsidP="00A5478D">
      <w:pPr>
        <w:pStyle w:val="ListParagraph"/>
        <w:numPr>
          <w:ilvl w:val="0"/>
          <w:numId w:val="4"/>
        </w:numPr>
        <w:jc w:val="both"/>
        <w:rPr>
          <w:rFonts w:ascii="Times New Roman" w:hAnsi="Times New Roman" w:cs="Times New Roman"/>
        </w:rPr>
      </w:pPr>
      <w:r w:rsidRPr="00180D80">
        <w:rPr>
          <w:rFonts w:ascii="Times New Roman" w:hAnsi="Times New Roman" w:cs="Times New Roman"/>
        </w:rPr>
        <w:t>If no valid action exists, report the unexpected token and expected alternatives; optionally recover at a synchronization token.</w:t>
      </w:r>
    </w:p>
    <w:p w14:paraId="04221C90" w14:textId="77777777" w:rsidR="00080A67" w:rsidRDefault="00080A67" w:rsidP="00180D80">
      <w:pPr>
        <w:pStyle w:val="ListParagraph"/>
        <w:numPr>
          <w:ilvl w:val="0"/>
          <w:numId w:val="4"/>
        </w:numPr>
        <w:rPr>
          <w:rFonts w:ascii="Times New Roman" w:hAnsi="Times New Roman" w:cs="Times New Roman"/>
        </w:rPr>
      </w:pPr>
      <w:r w:rsidRPr="00180D80">
        <w:rPr>
          <w:rFonts w:ascii="Times New Roman" w:hAnsi="Times New Roman" w:cs="Times New Roman"/>
        </w:rPr>
        <w:t>Accept only when the complete token stream has been consumed and the start construct has been recognized.</w:t>
      </w:r>
    </w:p>
    <w:p w14:paraId="523D6A4E" w14:textId="77777777" w:rsidR="00163043" w:rsidRPr="00180D80" w:rsidRDefault="00163043" w:rsidP="00163043">
      <w:pPr>
        <w:pStyle w:val="ListParagraph"/>
        <w:rPr>
          <w:rFonts w:ascii="Times New Roman" w:hAnsi="Times New Roman" w:cs="Times New Roman"/>
        </w:rPr>
      </w:pPr>
    </w:p>
    <w:p w14:paraId="60DD359C"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5. Sample Grammar and Parsing</w:t>
      </w:r>
    </w:p>
    <w:p w14:paraId="215E7B1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For the expression portion, use E → E + E | E * E | id. Define * as higher precedence than +, and define both operators as left-associative.</w:t>
      </w:r>
    </w:p>
    <w:p w14:paraId="40A3E30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Input: id * id + id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90"/>
        <w:gridCol w:w="3109"/>
        <w:gridCol w:w="3151"/>
      </w:tblGrid>
      <w:tr w:rsidR="00080A67" w:rsidRPr="004F661A" w14:paraId="282CEFD8" w14:textId="77777777">
        <w:tc>
          <w:tcPr>
            <w:tcW w:w="3264" w:type="dxa"/>
            <w:tcBorders>
              <w:top w:val="single" w:sz="4" w:space="0" w:color="000000"/>
              <w:left w:val="single" w:sz="4" w:space="0" w:color="000000"/>
              <w:bottom w:val="single" w:sz="4" w:space="0" w:color="000000"/>
              <w:right w:val="single" w:sz="4" w:space="0" w:color="000000"/>
            </w:tcBorders>
            <w:hideMark/>
          </w:tcPr>
          <w:p w14:paraId="6A49C26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Step</w:t>
            </w:r>
          </w:p>
        </w:tc>
        <w:tc>
          <w:tcPr>
            <w:tcW w:w="3264" w:type="dxa"/>
            <w:tcBorders>
              <w:top w:val="single" w:sz="4" w:space="0" w:color="000000"/>
              <w:left w:val="single" w:sz="4" w:space="0" w:color="000000"/>
              <w:bottom w:val="single" w:sz="4" w:space="0" w:color="000000"/>
              <w:right w:val="single" w:sz="4" w:space="0" w:color="000000"/>
            </w:tcBorders>
            <w:hideMark/>
          </w:tcPr>
          <w:p w14:paraId="2AB31BF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Parser action</w:t>
            </w:r>
          </w:p>
        </w:tc>
        <w:tc>
          <w:tcPr>
            <w:tcW w:w="3264" w:type="dxa"/>
            <w:tcBorders>
              <w:top w:val="single" w:sz="4" w:space="0" w:color="000000"/>
              <w:left w:val="single" w:sz="4" w:space="0" w:color="000000"/>
              <w:bottom w:val="single" w:sz="4" w:space="0" w:color="000000"/>
              <w:right w:val="single" w:sz="4" w:space="0" w:color="000000"/>
            </w:tcBorders>
            <w:hideMark/>
          </w:tcPr>
          <w:p w14:paraId="3443CD6F"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Explanation</w:t>
            </w:r>
          </w:p>
        </w:tc>
      </w:tr>
      <w:tr w:rsidR="00080A67" w:rsidRPr="004F661A" w14:paraId="5750A0C9" w14:textId="77777777">
        <w:tc>
          <w:tcPr>
            <w:tcW w:w="3264" w:type="dxa"/>
            <w:tcBorders>
              <w:top w:val="single" w:sz="4" w:space="0" w:color="000000"/>
              <w:left w:val="single" w:sz="4" w:space="0" w:color="000000"/>
              <w:bottom w:val="single" w:sz="4" w:space="0" w:color="000000"/>
              <w:right w:val="single" w:sz="4" w:space="0" w:color="000000"/>
            </w:tcBorders>
            <w:hideMark/>
          </w:tcPr>
          <w:p w14:paraId="5EFA071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1</w:t>
            </w:r>
          </w:p>
        </w:tc>
        <w:tc>
          <w:tcPr>
            <w:tcW w:w="3264" w:type="dxa"/>
            <w:tcBorders>
              <w:top w:val="single" w:sz="4" w:space="0" w:color="000000"/>
              <w:left w:val="single" w:sz="4" w:space="0" w:color="000000"/>
              <w:bottom w:val="single" w:sz="4" w:space="0" w:color="000000"/>
              <w:right w:val="single" w:sz="4" w:space="0" w:color="000000"/>
            </w:tcBorders>
            <w:hideMark/>
          </w:tcPr>
          <w:p w14:paraId="38EFAE9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Shift id</w:t>
            </w:r>
          </w:p>
        </w:tc>
        <w:tc>
          <w:tcPr>
            <w:tcW w:w="3264" w:type="dxa"/>
            <w:tcBorders>
              <w:top w:val="single" w:sz="4" w:space="0" w:color="000000"/>
              <w:left w:val="single" w:sz="4" w:space="0" w:color="000000"/>
              <w:bottom w:val="single" w:sz="4" w:space="0" w:color="000000"/>
              <w:right w:val="single" w:sz="4" w:space="0" w:color="000000"/>
            </w:tcBorders>
            <w:hideMark/>
          </w:tcPr>
          <w:p w14:paraId="5E0A9706"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Read the first operand.</w:t>
            </w:r>
          </w:p>
        </w:tc>
      </w:tr>
      <w:tr w:rsidR="00080A67" w:rsidRPr="004F661A" w14:paraId="3102A832" w14:textId="77777777">
        <w:tc>
          <w:tcPr>
            <w:tcW w:w="3264" w:type="dxa"/>
            <w:tcBorders>
              <w:top w:val="single" w:sz="4" w:space="0" w:color="000000"/>
              <w:left w:val="single" w:sz="4" w:space="0" w:color="000000"/>
              <w:bottom w:val="single" w:sz="4" w:space="0" w:color="000000"/>
              <w:right w:val="single" w:sz="4" w:space="0" w:color="000000"/>
            </w:tcBorders>
            <w:hideMark/>
          </w:tcPr>
          <w:p w14:paraId="4B35368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2</w:t>
            </w:r>
          </w:p>
        </w:tc>
        <w:tc>
          <w:tcPr>
            <w:tcW w:w="3264" w:type="dxa"/>
            <w:tcBorders>
              <w:top w:val="single" w:sz="4" w:space="0" w:color="000000"/>
              <w:left w:val="single" w:sz="4" w:space="0" w:color="000000"/>
              <w:bottom w:val="single" w:sz="4" w:space="0" w:color="000000"/>
              <w:right w:val="single" w:sz="4" w:space="0" w:color="000000"/>
            </w:tcBorders>
            <w:hideMark/>
          </w:tcPr>
          <w:p w14:paraId="5379CE6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Reduce id → E</w:t>
            </w:r>
          </w:p>
        </w:tc>
        <w:tc>
          <w:tcPr>
            <w:tcW w:w="3264" w:type="dxa"/>
            <w:tcBorders>
              <w:top w:val="single" w:sz="4" w:space="0" w:color="000000"/>
              <w:left w:val="single" w:sz="4" w:space="0" w:color="000000"/>
              <w:bottom w:val="single" w:sz="4" w:space="0" w:color="000000"/>
              <w:right w:val="single" w:sz="4" w:space="0" w:color="000000"/>
            </w:tcBorders>
            <w:hideMark/>
          </w:tcPr>
          <w:p w14:paraId="02EF4A5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Recognize the operand as an expression.</w:t>
            </w:r>
          </w:p>
        </w:tc>
      </w:tr>
      <w:tr w:rsidR="00080A67" w:rsidRPr="004F661A" w14:paraId="6CA7956F" w14:textId="77777777">
        <w:tc>
          <w:tcPr>
            <w:tcW w:w="3264" w:type="dxa"/>
            <w:tcBorders>
              <w:top w:val="single" w:sz="4" w:space="0" w:color="000000"/>
              <w:left w:val="single" w:sz="4" w:space="0" w:color="000000"/>
              <w:bottom w:val="single" w:sz="4" w:space="0" w:color="000000"/>
              <w:right w:val="single" w:sz="4" w:space="0" w:color="000000"/>
            </w:tcBorders>
            <w:hideMark/>
          </w:tcPr>
          <w:p w14:paraId="4DFB446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3</w:t>
            </w:r>
          </w:p>
        </w:tc>
        <w:tc>
          <w:tcPr>
            <w:tcW w:w="3264" w:type="dxa"/>
            <w:tcBorders>
              <w:top w:val="single" w:sz="4" w:space="0" w:color="000000"/>
              <w:left w:val="single" w:sz="4" w:space="0" w:color="000000"/>
              <w:bottom w:val="single" w:sz="4" w:space="0" w:color="000000"/>
              <w:right w:val="single" w:sz="4" w:space="0" w:color="000000"/>
            </w:tcBorders>
            <w:hideMark/>
          </w:tcPr>
          <w:p w14:paraId="3B7D1EA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Shift *</w:t>
            </w:r>
          </w:p>
        </w:tc>
        <w:tc>
          <w:tcPr>
            <w:tcW w:w="3264" w:type="dxa"/>
            <w:tcBorders>
              <w:top w:val="single" w:sz="4" w:space="0" w:color="000000"/>
              <w:left w:val="single" w:sz="4" w:space="0" w:color="000000"/>
              <w:bottom w:val="single" w:sz="4" w:space="0" w:color="000000"/>
              <w:right w:val="single" w:sz="4" w:space="0" w:color="000000"/>
            </w:tcBorders>
            <w:hideMark/>
          </w:tcPr>
          <w:p w14:paraId="4A0CEB3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The multiplication operator follows.</w:t>
            </w:r>
          </w:p>
        </w:tc>
      </w:tr>
      <w:tr w:rsidR="00080A67" w:rsidRPr="004F661A" w14:paraId="0B98EBDC" w14:textId="77777777">
        <w:tc>
          <w:tcPr>
            <w:tcW w:w="3264" w:type="dxa"/>
            <w:tcBorders>
              <w:top w:val="single" w:sz="4" w:space="0" w:color="000000"/>
              <w:left w:val="single" w:sz="4" w:space="0" w:color="000000"/>
              <w:bottom w:val="single" w:sz="4" w:space="0" w:color="000000"/>
              <w:right w:val="single" w:sz="4" w:space="0" w:color="000000"/>
            </w:tcBorders>
            <w:hideMark/>
          </w:tcPr>
          <w:p w14:paraId="741CACF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4</w:t>
            </w:r>
          </w:p>
        </w:tc>
        <w:tc>
          <w:tcPr>
            <w:tcW w:w="3264" w:type="dxa"/>
            <w:tcBorders>
              <w:top w:val="single" w:sz="4" w:space="0" w:color="000000"/>
              <w:left w:val="single" w:sz="4" w:space="0" w:color="000000"/>
              <w:bottom w:val="single" w:sz="4" w:space="0" w:color="000000"/>
              <w:right w:val="single" w:sz="4" w:space="0" w:color="000000"/>
            </w:tcBorders>
            <w:hideMark/>
          </w:tcPr>
          <w:p w14:paraId="0B24AAC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Shift id</w:t>
            </w:r>
          </w:p>
        </w:tc>
        <w:tc>
          <w:tcPr>
            <w:tcW w:w="3264" w:type="dxa"/>
            <w:tcBorders>
              <w:top w:val="single" w:sz="4" w:space="0" w:color="000000"/>
              <w:left w:val="single" w:sz="4" w:space="0" w:color="000000"/>
              <w:bottom w:val="single" w:sz="4" w:space="0" w:color="000000"/>
              <w:right w:val="single" w:sz="4" w:space="0" w:color="000000"/>
            </w:tcBorders>
            <w:hideMark/>
          </w:tcPr>
          <w:p w14:paraId="18B8FB99"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Read the second operand.</w:t>
            </w:r>
          </w:p>
        </w:tc>
      </w:tr>
      <w:tr w:rsidR="00080A67" w:rsidRPr="004F661A" w14:paraId="204451D8" w14:textId="77777777">
        <w:tc>
          <w:tcPr>
            <w:tcW w:w="3264" w:type="dxa"/>
            <w:tcBorders>
              <w:top w:val="single" w:sz="4" w:space="0" w:color="000000"/>
              <w:left w:val="single" w:sz="4" w:space="0" w:color="000000"/>
              <w:bottom w:val="single" w:sz="4" w:space="0" w:color="000000"/>
              <w:right w:val="single" w:sz="4" w:space="0" w:color="000000"/>
            </w:tcBorders>
            <w:hideMark/>
          </w:tcPr>
          <w:p w14:paraId="049D112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5</w:t>
            </w:r>
          </w:p>
        </w:tc>
        <w:tc>
          <w:tcPr>
            <w:tcW w:w="3264" w:type="dxa"/>
            <w:tcBorders>
              <w:top w:val="single" w:sz="4" w:space="0" w:color="000000"/>
              <w:left w:val="single" w:sz="4" w:space="0" w:color="000000"/>
              <w:bottom w:val="single" w:sz="4" w:space="0" w:color="000000"/>
              <w:right w:val="single" w:sz="4" w:space="0" w:color="000000"/>
            </w:tcBorders>
            <w:hideMark/>
          </w:tcPr>
          <w:p w14:paraId="18A77117"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Reduce id → E</w:t>
            </w:r>
          </w:p>
        </w:tc>
        <w:tc>
          <w:tcPr>
            <w:tcW w:w="3264" w:type="dxa"/>
            <w:tcBorders>
              <w:top w:val="single" w:sz="4" w:space="0" w:color="000000"/>
              <w:left w:val="single" w:sz="4" w:space="0" w:color="000000"/>
              <w:bottom w:val="single" w:sz="4" w:space="0" w:color="000000"/>
              <w:right w:val="single" w:sz="4" w:space="0" w:color="000000"/>
            </w:tcBorders>
            <w:hideMark/>
          </w:tcPr>
          <w:p w14:paraId="6AAA3F1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Recognize the second operand.</w:t>
            </w:r>
          </w:p>
        </w:tc>
      </w:tr>
      <w:tr w:rsidR="00080A67" w:rsidRPr="004F661A" w14:paraId="1D8A4CDB" w14:textId="77777777">
        <w:tc>
          <w:tcPr>
            <w:tcW w:w="3264" w:type="dxa"/>
            <w:tcBorders>
              <w:top w:val="single" w:sz="4" w:space="0" w:color="000000"/>
              <w:left w:val="single" w:sz="4" w:space="0" w:color="000000"/>
              <w:bottom w:val="single" w:sz="4" w:space="0" w:color="000000"/>
              <w:right w:val="single" w:sz="4" w:space="0" w:color="000000"/>
            </w:tcBorders>
            <w:hideMark/>
          </w:tcPr>
          <w:p w14:paraId="78048D2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6</w:t>
            </w:r>
          </w:p>
        </w:tc>
        <w:tc>
          <w:tcPr>
            <w:tcW w:w="3264" w:type="dxa"/>
            <w:tcBorders>
              <w:top w:val="single" w:sz="4" w:space="0" w:color="000000"/>
              <w:left w:val="single" w:sz="4" w:space="0" w:color="000000"/>
              <w:bottom w:val="single" w:sz="4" w:space="0" w:color="000000"/>
              <w:right w:val="single" w:sz="4" w:space="0" w:color="000000"/>
            </w:tcBorders>
            <w:hideMark/>
          </w:tcPr>
          <w:p w14:paraId="61A9030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Reduce E * E → E</w:t>
            </w:r>
          </w:p>
        </w:tc>
        <w:tc>
          <w:tcPr>
            <w:tcW w:w="3264" w:type="dxa"/>
            <w:tcBorders>
              <w:top w:val="single" w:sz="4" w:space="0" w:color="000000"/>
              <w:left w:val="single" w:sz="4" w:space="0" w:color="000000"/>
              <w:bottom w:val="single" w:sz="4" w:space="0" w:color="000000"/>
              <w:right w:val="single" w:sz="4" w:space="0" w:color="000000"/>
            </w:tcBorders>
            <w:hideMark/>
          </w:tcPr>
          <w:p w14:paraId="2BE57A1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Complete multiplication before addition.</w:t>
            </w:r>
          </w:p>
        </w:tc>
      </w:tr>
      <w:tr w:rsidR="00080A67" w:rsidRPr="004F661A" w14:paraId="061D9CA7" w14:textId="77777777">
        <w:tc>
          <w:tcPr>
            <w:tcW w:w="3264" w:type="dxa"/>
            <w:tcBorders>
              <w:top w:val="single" w:sz="4" w:space="0" w:color="000000"/>
              <w:left w:val="single" w:sz="4" w:space="0" w:color="000000"/>
              <w:bottom w:val="single" w:sz="4" w:space="0" w:color="000000"/>
              <w:right w:val="single" w:sz="4" w:space="0" w:color="000000"/>
            </w:tcBorders>
            <w:hideMark/>
          </w:tcPr>
          <w:p w14:paraId="5DB3286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7</w:t>
            </w:r>
          </w:p>
        </w:tc>
        <w:tc>
          <w:tcPr>
            <w:tcW w:w="3264" w:type="dxa"/>
            <w:tcBorders>
              <w:top w:val="single" w:sz="4" w:space="0" w:color="000000"/>
              <w:left w:val="single" w:sz="4" w:space="0" w:color="000000"/>
              <w:bottom w:val="single" w:sz="4" w:space="0" w:color="000000"/>
              <w:right w:val="single" w:sz="4" w:space="0" w:color="000000"/>
            </w:tcBorders>
            <w:hideMark/>
          </w:tcPr>
          <w:p w14:paraId="3D20DB4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Shift +</w:t>
            </w:r>
          </w:p>
        </w:tc>
        <w:tc>
          <w:tcPr>
            <w:tcW w:w="3264" w:type="dxa"/>
            <w:tcBorders>
              <w:top w:val="single" w:sz="4" w:space="0" w:color="000000"/>
              <w:left w:val="single" w:sz="4" w:space="0" w:color="000000"/>
              <w:bottom w:val="single" w:sz="4" w:space="0" w:color="000000"/>
              <w:right w:val="single" w:sz="4" w:space="0" w:color="000000"/>
            </w:tcBorders>
            <w:hideMark/>
          </w:tcPr>
          <w:p w14:paraId="3088AB3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Read the lower-precedence addition operator.</w:t>
            </w:r>
          </w:p>
        </w:tc>
      </w:tr>
      <w:tr w:rsidR="00080A67" w:rsidRPr="004F661A" w14:paraId="0253DC9D" w14:textId="77777777">
        <w:tc>
          <w:tcPr>
            <w:tcW w:w="3264" w:type="dxa"/>
            <w:tcBorders>
              <w:top w:val="single" w:sz="4" w:space="0" w:color="000000"/>
              <w:left w:val="single" w:sz="4" w:space="0" w:color="000000"/>
              <w:bottom w:val="single" w:sz="4" w:space="0" w:color="000000"/>
              <w:right w:val="single" w:sz="4" w:space="0" w:color="000000"/>
            </w:tcBorders>
            <w:hideMark/>
          </w:tcPr>
          <w:p w14:paraId="390F583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lastRenderedPageBreak/>
              <w:t>8</w:t>
            </w:r>
          </w:p>
        </w:tc>
        <w:tc>
          <w:tcPr>
            <w:tcW w:w="3264" w:type="dxa"/>
            <w:tcBorders>
              <w:top w:val="single" w:sz="4" w:space="0" w:color="000000"/>
              <w:left w:val="single" w:sz="4" w:space="0" w:color="000000"/>
              <w:bottom w:val="single" w:sz="4" w:space="0" w:color="000000"/>
              <w:right w:val="single" w:sz="4" w:space="0" w:color="000000"/>
            </w:tcBorders>
            <w:hideMark/>
          </w:tcPr>
          <w:p w14:paraId="1CB7C32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Shift id, then reduce id → E</w:t>
            </w:r>
          </w:p>
        </w:tc>
        <w:tc>
          <w:tcPr>
            <w:tcW w:w="3264" w:type="dxa"/>
            <w:tcBorders>
              <w:top w:val="single" w:sz="4" w:space="0" w:color="000000"/>
              <w:left w:val="single" w:sz="4" w:space="0" w:color="000000"/>
              <w:bottom w:val="single" w:sz="4" w:space="0" w:color="000000"/>
              <w:right w:val="single" w:sz="4" w:space="0" w:color="000000"/>
            </w:tcBorders>
            <w:hideMark/>
          </w:tcPr>
          <w:p w14:paraId="50C7214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Read and recognize the final operand.</w:t>
            </w:r>
          </w:p>
        </w:tc>
      </w:tr>
      <w:tr w:rsidR="00080A67" w:rsidRPr="004F661A" w14:paraId="4247CE0A" w14:textId="77777777">
        <w:tc>
          <w:tcPr>
            <w:tcW w:w="3264" w:type="dxa"/>
            <w:tcBorders>
              <w:top w:val="single" w:sz="4" w:space="0" w:color="000000"/>
              <w:left w:val="single" w:sz="4" w:space="0" w:color="000000"/>
              <w:bottom w:val="single" w:sz="4" w:space="0" w:color="000000"/>
              <w:right w:val="single" w:sz="4" w:space="0" w:color="000000"/>
            </w:tcBorders>
            <w:hideMark/>
          </w:tcPr>
          <w:p w14:paraId="66431B4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9</w:t>
            </w:r>
          </w:p>
        </w:tc>
        <w:tc>
          <w:tcPr>
            <w:tcW w:w="3264" w:type="dxa"/>
            <w:tcBorders>
              <w:top w:val="single" w:sz="4" w:space="0" w:color="000000"/>
              <w:left w:val="single" w:sz="4" w:space="0" w:color="000000"/>
              <w:bottom w:val="single" w:sz="4" w:space="0" w:color="000000"/>
              <w:right w:val="single" w:sz="4" w:space="0" w:color="000000"/>
            </w:tcBorders>
            <w:hideMark/>
          </w:tcPr>
          <w:p w14:paraId="377A14A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Reduce E + E → E</w:t>
            </w:r>
          </w:p>
        </w:tc>
        <w:tc>
          <w:tcPr>
            <w:tcW w:w="3264" w:type="dxa"/>
            <w:tcBorders>
              <w:top w:val="single" w:sz="4" w:space="0" w:color="000000"/>
              <w:left w:val="single" w:sz="4" w:space="0" w:color="000000"/>
              <w:bottom w:val="single" w:sz="4" w:space="0" w:color="000000"/>
              <w:right w:val="single" w:sz="4" w:space="0" w:color="000000"/>
            </w:tcBorders>
            <w:hideMark/>
          </w:tcPr>
          <w:p w14:paraId="61778C2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Complete the addition.</w:t>
            </w:r>
          </w:p>
        </w:tc>
      </w:tr>
      <w:tr w:rsidR="00080A67" w:rsidRPr="004F661A" w14:paraId="0A47ACF8" w14:textId="77777777">
        <w:tc>
          <w:tcPr>
            <w:tcW w:w="3264" w:type="dxa"/>
            <w:tcBorders>
              <w:top w:val="single" w:sz="4" w:space="0" w:color="000000"/>
              <w:left w:val="single" w:sz="4" w:space="0" w:color="000000"/>
              <w:bottom w:val="single" w:sz="4" w:space="0" w:color="000000"/>
              <w:right w:val="single" w:sz="4" w:space="0" w:color="000000"/>
            </w:tcBorders>
            <w:hideMark/>
          </w:tcPr>
          <w:p w14:paraId="57B83FB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10</w:t>
            </w:r>
          </w:p>
        </w:tc>
        <w:tc>
          <w:tcPr>
            <w:tcW w:w="3264" w:type="dxa"/>
            <w:tcBorders>
              <w:top w:val="single" w:sz="4" w:space="0" w:color="000000"/>
              <w:left w:val="single" w:sz="4" w:space="0" w:color="000000"/>
              <w:bottom w:val="single" w:sz="4" w:space="0" w:color="000000"/>
              <w:right w:val="single" w:sz="4" w:space="0" w:color="000000"/>
            </w:tcBorders>
            <w:hideMark/>
          </w:tcPr>
          <w:p w14:paraId="5271CA9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Accept</w:t>
            </w:r>
          </w:p>
        </w:tc>
        <w:tc>
          <w:tcPr>
            <w:tcW w:w="3264" w:type="dxa"/>
            <w:tcBorders>
              <w:top w:val="single" w:sz="4" w:space="0" w:color="000000"/>
              <w:left w:val="single" w:sz="4" w:space="0" w:color="000000"/>
              <w:bottom w:val="single" w:sz="4" w:space="0" w:color="000000"/>
              <w:right w:val="single" w:sz="4" w:space="0" w:color="000000"/>
            </w:tcBorders>
            <w:hideMark/>
          </w:tcPr>
          <w:p w14:paraId="7274EA26"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All tokens have been processed.</w:t>
            </w:r>
          </w:p>
        </w:tc>
      </w:tr>
    </w:tbl>
    <w:p w14:paraId="7AC34EA0"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The resulting expression grouping is (id * id) + id, which follows the specified precedence and associativity rules.</w:t>
      </w:r>
    </w:p>
    <w:p w14:paraId="31AC5A98"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6. Comparison with LL and LR Methods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56"/>
        <w:gridCol w:w="2362"/>
        <w:gridCol w:w="2322"/>
        <w:gridCol w:w="2310"/>
      </w:tblGrid>
      <w:tr w:rsidR="00080A67" w:rsidRPr="004F661A" w14:paraId="10B1D0F5" w14:textId="77777777">
        <w:tc>
          <w:tcPr>
            <w:tcW w:w="2448" w:type="dxa"/>
            <w:tcBorders>
              <w:top w:val="single" w:sz="4" w:space="0" w:color="000000"/>
              <w:left w:val="single" w:sz="4" w:space="0" w:color="000000"/>
              <w:bottom w:val="single" w:sz="4" w:space="0" w:color="000000"/>
              <w:right w:val="single" w:sz="4" w:space="0" w:color="000000"/>
            </w:tcBorders>
            <w:hideMark/>
          </w:tcPr>
          <w:p w14:paraId="3C1C467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Aspect</w:t>
            </w:r>
          </w:p>
        </w:tc>
        <w:tc>
          <w:tcPr>
            <w:tcW w:w="2448" w:type="dxa"/>
            <w:tcBorders>
              <w:top w:val="single" w:sz="4" w:space="0" w:color="000000"/>
              <w:left w:val="single" w:sz="4" w:space="0" w:color="000000"/>
              <w:bottom w:val="single" w:sz="4" w:space="0" w:color="000000"/>
              <w:right w:val="single" w:sz="4" w:space="0" w:color="000000"/>
            </w:tcBorders>
            <w:hideMark/>
          </w:tcPr>
          <w:p w14:paraId="23C84DDA"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LL(1)</w:t>
            </w:r>
          </w:p>
        </w:tc>
        <w:tc>
          <w:tcPr>
            <w:tcW w:w="2448" w:type="dxa"/>
            <w:tcBorders>
              <w:top w:val="single" w:sz="4" w:space="0" w:color="000000"/>
              <w:left w:val="single" w:sz="4" w:space="0" w:color="000000"/>
              <w:bottom w:val="single" w:sz="4" w:space="0" w:color="000000"/>
              <w:right w:val="single" w:sz="4" w:space="0" w:color="000000"/>
            </w:tcBorders>
            <w:hideMark/>
          </w:tcPr>
          <w:p w14:paraId="565F590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LR</w:t>
            </w:r>
          </w:p>
        </w:tc>
        <w:tc>
          <w:tcPr>
            <w:tcW w:w="2448" w:type="dxa"/>
            <w:tcBorders>
              <w:top w:val="single" w:sz="4" w:space="0" w:color="000000"/>
              <w:left w:val="single" w:sz="4" w:space="0" w:color="000000"/>
              <w:bottom w:val="single" w:sz="4" w:space="0" w:color="000000"/>
              <w:right w:val="single" w:sz="4" w:space="0" w:color="000000"/>
            </w:tcBorders>
            <w:hideMark/>
          </w:tcPr>
          <w:p w14:paraId="22E6F0D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GPRP proposal</w:t>
            </w:r>
          </w:p>
        </w:tc>
      </w:tr>
      <w:tr w:rsidR="00080A67" w:rsidRPr="004F661A" w14:paraId="04EA9B23" w14:textId="77777777">
        <w:tc>
          <w:tcPr>
            <w:tcW w:w="2448" w:type="dxa"/>
            <w:tcBorders>
              <w:top w:val="single" w:sz="4" w:space="0" w:color="000000"/>
              <w:left w:val="single" w:sz="4" w:space="0" w:color="000000"/>
              <w:bottom w:val="single" w:sz="4" w:space="0" w:color="000000"/>
              <w:right w:val="single" w:sz="4" w:space="0" w:color="000000"/>
            </w:tcBorders>
            <w:hideMark/>
          </w:tcPr>
          <w:p w14:paraId="10A9F59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Decision method</w:t>
            </w:r>
          </w:p>
        </w:tc>
        <w:tc>
          <w:tcPr>
            <w:tcW w:w="2448" w:type="dxa"/>
            <w:tcBorders>
              <w:top w:val="single" w:sz="4" w:space="0" w:color="000000"/>
              <w:left w:val="single" w:sz="4" w:space="0" w:color="000000"/>
              <w:bottom w:val="single" w:sz="4" w:space="0" w:color="000000"/>
              <w:right w:val="single" w:sz="4" w:space="0" w:color="000000"/>
            </w:tcBorders>
            <w:hideMark/>
          </w:tcPr>
          <w:p w14:paraId="63403AC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Predict using one lookahead token and a parsing table.</w:t>
            </w:r>
          </w:p>
        </w:tc>
        <w:tc>
          <w:tcPr>
            <w:tcW w:w="2448" w:type="dxa"/>
            <w:tcBorders>
              <w:top w:val="single" w:sz="4" w:space="0" w:color="000000"/>
              <w:left w:val="single" w:sz="4" w:space="0" w:color="000000"/>
              <w:bottom w:val="single" w:sz="4" w:space="0" w:color="000000"/>
              <w:right w:val="single" w:sz="4" w:space="0" w:color="000000"/>
            </w:tcBorders>
            <w:hideMark/>
          </w:tcPr>
          <w:p w14:paraId="321B238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Use states, lookahead and shift/reduce actions.</w:t>
            </w:r>
          </w:p>
        </w:tc>
        <w:tc>
          <w:tcPr>
            <w:tcW w:w="2448" w:type="dxa"/>
            <w:tcBorders>
              <w:top w:val="single" w:sz="4" w:space="0" w:color="000000"/>
              <w:left w:val="single" w:sz="4" w:space="0" w:color="000000"/>
              <w:bottom w:val="single" w:sz="4" w:space="0" w:color="000000"/>
              <w:right w:val="single" w:sz="4" w:space="0" w:color="000000"/>
            </w:tcBorders>
            <w:hideMark/>
          </w:tcPr>
          <w:p w14:paraId="562FDAD2"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Dispatches to prediction or reduction according to construct type.</w:t>
            </w:r>
          </w:p>
        </w:tc>
      </w:tr>
      <w:tr w:rsidR="00080A67" w:rsidRPr="004F661A" w14:paraId="2590BFD6" w14:textId="77777777">
        <w:tc>
          <w:tcPr>
            <w:tcW w:w="2448" w:type="dxa"/>
            <w:tcBorders>
              <w:top w:val="single" w:sz="4" w:space="0" w:color="000000"/>
              <w:left w:val="single" w:sz="4" w:space="0" w:color="000000"/>
              <w:bottom w:val="single" w:sz="4" w:space="0" w:color="000000"/>
              <w:right w:val="single" w:sz="4" w:space="0" w:color="000000"/>
            </w:tcBorders>
            <w:hideMark/>
          </w:tcPr>
          <w:p w14:paraId="374E2FF5"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Grammar handling</w:t>
            </w:r>
          </w:p>
        </w:tc>
        <w:tc>
          <w:tcPr>
            <w:tcW w:w="2448" w:type="dxa"/>
            <w:tcBorders>
              <w:top w:val="single" w:sz="4" w:space="0" w:color="000000"/>
              <w:left w:val="single" w:sz="4" w:space="0" w:color="000000"/>
              <w:bottom w:val="single" w:sz="4" w:space="0" w:color="000000"/>
              <w:right w:val="single" w:sz="4" w:space="0" w:color="000000"/>
            </w:tcBorders>
            <w:hideMark/>
          </w:tcPr>
          <w:p w14:paraId="4D92A43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Requires LL-compatible grammar transformations.</w:t>
            </w:r>
          </w:p>
        </w:tc>
        <w:tc>
          <w:tcPr>
            <w:tcW w:w="2448" w:type="dxa"/>
            <w:tcBorders>
              <w:top w:val="single" w:sz="4" w:space="0" w:color="000000"/>
              <w:left w:val="single" w:sz="4" w:space="0" w:color="000000"/>
              <w:bottom w:val="single" w:sz="4" w:space="0" w:color="000000"/>
              <w:right w:val="single" w:sz="4" w:space="0" w:color="000000"/>
            </w:tcBorders>
            <w:hideMark/>
          </w:tcPr>
          <w:p w14:paraId="0DB2C67F"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Handles a broad class of deterministic context-free grammars.</w:t>
            </w:r>
          </w:p>
        </w:tc>
        <w:tc>
          <w:tcPr>
            <w:tcW w:w="2448" w:type="dxa"/>
            <w:tcBorders>
              <w:top w:val="single" w:sz="4" w:space="0" w:color="000000"/>
              <w:left w:val="single" w:sz="4" w:space="0" w:color="000000"/>
              <w:bottom w:val="single" w:sz="4" w:space="0" w:color="000000"/>
              <w:right w:val="single" w:sz="4" w:space="0" w:color="000000"/>
            </w:tcBorders>
            <w:hideMark/>
          </w:tcPr>
          <w:p w14:paraId="1E75BAEC"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Uses transformed grammar for simple constructs and LR-style expression rules.</w:t>
            </w:r>
          </w:p>
        </w:tc>
      </w:tr>
      <w:tr w:rsidR="00080A67" w:rsidRPr="004F661A" w14:paraId="09704C01" w14:textId="77777777">
        <w:tc>
          <w:tcPr>
            <w:tcW w:w="2448" w:type="dxa"/>
            <w:tcBorders>
              <w:top w:val="single" w:sz="4" w:space="0" w:color="000000"/>
              <w:left w:val="single" w:sz="4" w:space="0" w:color="000000"/>
              <w:bottom w:val="single" w:sz="4" w:space="0" w:color="000000"/>
              <w:right w:val="single" w:sz="4" w:space="0" w:color="000000"/>
            </w:tcBorders>
            <w:hideMark/>
          </w:tcPr>
          <w:p w14:paraId="3D1C2EE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Implementation</w:t>
            </w:r>
          </w:p>
        </w:tc>
        <w:tc>
          <w:tcPr>
            <w:tcW w:w="2448" w:type="dxa"/>
            <w:tcBorders>
              <w:top w:val="single" w:sz="4" w:space="0" w:color="000000"/>
              <w:left w:val="single" w:sz="4" w:space="0" w:color="000000"/>
              <w:bottom w:val="single" w:sz="4" w:space="0" w:color="000000"/>
              <w:right w:val="single" w:sz="4" w:space="0" w:color="000000"/>
            </w:tcBorders>
            <w:hideMark/>
          </w:tcPr>
          <w:p w14:paraId="7D3F9281"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Simple when the table has no conflicts.</w:t>
            </w:r>
          </w:p>
        </w:tc>
        <w:tc>
          <w:tcPr>
            <w:tcW w:w="2448" w:type="dxa"/>
            <w:tcBorders>
              <w:top w:val="single" w:sz="4" w:space="0" w:color="000000"/>
              <w:left w:val="single" w:sz="4" w:space="0" w:color="000000"/>
              <w:bottom w:val="single" w:sz="4" w:space="0" w:color="000000"/>
              <w:right w:val="single" w:sz="4" w:space="0" w:color="000000"/>
            </w:tcBorders>
            <w:hideMark/>
          </w:tcPr>
          <w:p w14:paraId="0AE4491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More complex tables and state construction.</w:t>
            </w:r>
          </w:p>
        </w:tc>
        <w:tc>
          <w:tcPr>
            <w:tcW w:w="2448" w:type="dxa"/>
            <w:tcBorders>
              <w:top w:val="single" w:sz="4" w:space="0" w:color="000000"/>
              <w:left w:val="single" w:sz="4" w:space="0" w:color="000000"/>
              <w:bottom w:val="single" w:sz="4" w:space="0" w:color="000000"/>
              <w:right w:val="single" w:sz="4" w:space="0" w:color="000000"/>
            </w:tcBorders>
            <w:hideMark/>
          </w:tcPr>
          <w:p w14:paraId="72D5A6E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More integration logic due to two parsing modes.</w:t>
            </w:r>
          </w:p>
        </w:tc>
      </w:tr>
      <w:tr w:rsidR="00080A67" w:rsidRPr="004F661A" w14:paraId="13FC7D62" w14:textId="77777777">
        <w:tc>
          <w:tcPr>
            <w:tcW w:w="2448" w:type="dxa"/>
            <w:tcBorders>
              <w:top w:val="single" w:sz="4" w:space="0" w:color="000000"/>
              <w:left w:val="single" w:sz="4" w:space="0" w:color="000000"/>
              <w:bottom w:val="single" w:sz="4" w:space="0" w:color="000000"/>
              <w:right w:val="single" w:sz="4" w:space="0" w:color="000000"/>
            </w:tcBorders>
            <w:hideMark/>
          </w:tcPr>
          <w:p w14:paraId="3420677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Main benefit</w:t>
            </w:r>
          </w:p>
        </w:tc>
        <w:tc>
          <w:tcPr>
            <w:tcW w:w="2448" w:type="dxa"/>
            <w:tcBorders>
              <w:top w:val="single" w:sz="4" w:space="0" w:color="000000"/>
              <w:left w:val="single" w:sz="4" w:space="0" w:color="000000"/>
              <w:bottom w:val="single" w:sz="4" w:space="0" w:color="000000"/>
              <w:right w:val="single" w:sz="4" w:space="0" w:color="000000"/>
            </w:tcBorders>
            <w:hideMark/>
          </w:tcPr>
          <w:p w14:paraId="5A2DA39B"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Clarity and simplicity.</w:t>
            </w:r>
          </w:p>
        </w:tc>
        <w:tc>
          <w:tcPr>
            <w:tcW w:w="2448" w:type="dxa"/>
            <w:tcBorders>
              <w:top w:val="single" w:sz="4" w:space="0" w:color="000000"/>
              <w:left w:val="single" w:sz="4" w:space="0" w:color="000000"/>
              <w:bottom w:val="single" w:sz="4" w:space="0" w:color="000000"/>
              <w:right w:val="single" w:sz="4" w:space="0" w:color="000000"/>
            </w:tcBorders>
            <w:hideMark/>
          </w:tcPr>
          <w:p w14:paraId="23EA62AD"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Powerful bottom-up parsing.</w:t>
            </w:r>
          </w:p>
        </w:tc>
        <w:tc>
          <w:tcPr>
            <w:tcW w:w="2448" w:type="dxa"/>
            <w:tcBorders>
              <w:top w:val="single" w:sz="4" w:space="0" w:color="000000"/>
              <w:left w:val="single" w:sz="4" w:space="0" w:color="000000"/>
              <w:bottom w:val="single" w:sz="4" w:space="0" w:color="000000"/>
              <w:right w:val="single" w:sz="4" w:space="0" w:color="000000"/>
            </w:tcBorders>
            <w:hideMark/>
          </w:tcPr>
          <w:p w14:paraId="71D859DE"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Attempts to combine simplicity with expression-handling capability.</w:t>
            </w:r>
          </w:p>
        </w:tc>
      </w:tr>
      <w:tr w:rsidR="00080A67" w:rsidRPr="004F661A" w14:paraId="5A3402BF" w14:textId="77777777">
        <w:tc>
          <w:tcPr>
            <w:tcW w:w="2448" w:type="dxa"/>
            <w:tcBorders>
              <w:top w:val="single" w:sz="4" w:space="0" w:color="000000"/>
              <w:left w:val="single" w:sz="4" w:space="0" w:color="000000"/>
              <w:bottom w:val="single" w:sz="4" w:space="0" w:color="000000"/>
              <w:right w:val="single" w:sz="4" w:space="0" w:color="000000"/>
            </w:tcBorders>
            <w:hideMark/>
          </w:tcPr>
          <w:p w14:paraId="5862C316"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Main trade-off</w:t>
            </w:r>
          </w:p>
        </w:tc>
        <w:tc>
          <w:tcPr>
            <w:tcW w:w="2448" w:type="dxa"/>
            <w:tcBorders>
              <w:top w:val="single" w:sz="4" w:space="0" w:color="000000"/>
              <w:left w:val="single" w:sz="4" w:space="0" w:color="000000"/>
              <w:bottom w:val="single" w:sz="4" w:space="0" w:color="000000"/>
              <w:right w:val="single" w:sz="4" w:space="0" w:color="000000"/>
            </w:tcBorders>
            <w:hideMark/>
          </w:tcPr>
          <w:p w14:paraId="5FE2FC74"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Cannot directly handle all CFGs.</w:t>
            </w:r>
          </w:p>
        </w:tc>
        <w:tc>
          <w:tcPr>
            <w:tcW w:w="2448" w:type="dxa"/>
            <w:tcBorders>
              <w:top w:val="single" w:sz="4" w:space="0" w:color="000000"/>
              <w:left w:val="single" w:sz="4" w:space="0" w:color="000000"/>
              <w:bottom w:val="single" w:sz="4" w:space="0" w:color="000000"/>
              <w:right w:val="single" w:sz="4" w:space="0" w:color="000000"/>
            </w:tcBorders>
            <w:hideMark/>
          </w:tcPr>
          <w:p w14:paraId="21FBE9B3"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Construction and debugging can be more involved.</w:t>
            </w:r>
          </w:p>
        </w:tc>
        <w:tc>
          <w:tcPr>
            <w:tcW w:w="2448" w:type="dxa"/>
            <w:tcBorders>
              <w:top w:val="single" w:sz="4" w:space="0" w:color="000000"/>
              <w:left w:val="single" w:sz="4" w:space="0" w:color="000000"/>
              <w:bottom w:val="single" w:sz="4" w:space="0" w:color="000000"/>
              <w:right w:val="single" w:sz="4" w:space="0" w:color="000000"/>
            </w:tcBorders>
            <w:hideMark/>
          </w:tcPr>
          <w:p w14:paraId="58413FA8" w14:textId="77777777" w:rsidR="00080A67" w:rsidRPr="004F661A" w:rsidRDefault="00080A67" w:rsidP="00080A67">
            <w:pPr>
              <w:rPr>
                <w:rFonts w:ascii="Times New Roman" w:hAnsi="Times New Roman" w:cs="Times New Roman"/>
              </w:rPr>
            </w:pPr>
            <w:r w:rsidRPr="004F661A">
              <w:rPr>
                <w:rFonts w:ascii="Times New Roman" w:hAnsi="Times New Roman" w:cs="Times New Roman"/>
              </w:rPr>
              <w:t>Parser handoff and error recovery need careful design.</w:t>
            </w:r>
          </w:p>
        </w:tc>
      </w:tr>
    </w:tbl>
    <w:p w14:paraId="6D358B9E" w14:textId="77777777" w:rsidR="00052B87" w:rsidRDefault="00052B87" w:rsidP="00080A67">
      <w:pPr>
        <w:rPr>
          <w:rFonts w:ascii="Times New Roman" w:hAnsi="Times New Roman" w:cs="Times New Roman"/>
          <w:b/>
          <w:bCs/>
        </w:rPr>
      </w:pPr>
    </w:p>
    <w:p w14:paraId="185A36C0" w14:textId="38389193" w:rsidR="00080A67" w:rsidRPr="004F661A" w:rsidRDefault="00080A67" w:rsidP="00080A67">
      <w:pPr>
        <w:rPr>
          <w:rFonts w:ascii="Times New Roman" w:hAnsi="Times New Roman" w:cs="Times New Roman"/>
        </w:rPr>
      </w:pPr>
      <w:r w:rsidRPr="004F661A">
        <w:rPr>
          <w:rFonts w:ascii="Times New Roman" w:hAnsi="Times New Roman" w:cs="Times New Roman"/>
          <w:b/>
          <w:bCs/>
        </w:rPr>
        <w:t>7. Time and Space Complexity</w:t>
      </w:r>
    </w:p>
    <w:p w14:paraId="57F323AA" w14:textId="77777777" w:rsidR="00080A67" w:rsidRPr="004F661A" w:rsidRDefault="00080A67" w:rsidP="00163043">
      <w:pPr>
        <w:jc w:val="both"/>
        <w:rPr>
          <w:rFonts w:ascii="Times New Roman" w:hAnsi="Times New Roman" w:cs="Times New Roman"/>
        </w:rPr>
      </w:pPr>
      <w:r w:rsidRPr="004F661A">
        <w:rPr>
          <w:rFonts w:ascii="Times New Roman" w:hAnsi="Times New Roman" w:cs="Times New Roman"/>
        </w:rPr>
        <w:t xml:space="preserve">For a fixed grammar, the LL(1) portion typically processes n input tokens in O(n) time. A deterministic LR parser also typically runs in O(n) time for a fixed grammar. The proposed GPRP </w:t>
      </w:r>
      <w:r w:rsidRPr="004F661A">
        <w:rPr>
          <w:rFonts w:ascii="Times New Roman" w:hAnsi="Times New Roman" w:cs="Times New Roman"/>
        </w:rPr>
        <w:lastRenderedPageBreak/>
        <w:t>algorithm can therefore achieve O(n) time if dispatch is constant-time, each token is processed a bounded number of times, and expression precedence decisions use constant-time lookups.</w:t>
      </w:r>
    </w:p>
    <w:p w14:paraId="25AC0847" w14:textId="77777777" w:rsidR="00080A67" w:rsidRPr="004F661A" w:rsidRDefault="00080A67" w:rsidP="00163043">
      <w:pPr>
        <w:jc w:val="both"/>
        <w:rPr>
          <w:rFonts w:ascii="Times New Roman" w:hAnsi="Times New Roman" w:cs="Times New Roman"/>
        </w:rPr>
      </w:pPr>
      <w:r w:rsidRPr="004F661A">
        <w:rPr>
          <w:rFonts w:ascii="Times New Roman" w:hAnsi="Times New Roman" w:cs="Times New Roman"/>
        </w:rPr>
        <w:t>Its stack and syntax tree require O(n) space in the worst case. If the design repeatedly reparses input or uses inefficient recovery, the linear-time bound may not hold. These are expected complexity bounds for the proposed design under the stated assumptions, not experimentally measured performance claims.</w:t>
      </w:r>
    </w:p>
    <w:p w14:paraId="53C64543"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8. Improvements and Trade-offs</w:t>
      </w:r>
    </w:p>
    <w:p w14:paraId="785C0164" w14:textId="77777777" w:rsidR="00080A67" w:rsidRPr="00163043" w:rsidRDefault="00080A67" w:rsidP="00163043">
      <w:pPr>
        <w:pStyle w:val="ListParagraph"/>
        <w:numPr>
          <w:ilvl w:val="0"/>
          <w:numId w:val="5"/>
        </w:numPr>
        <w:rPr>
          <w:rFonts w:ascii="Times New Roman" w:hAnsi="Times New Roman" w:cs="Times New Roman"/>
        </w:rPr>
      </w:pPr>
      <w:r w:rsidRPr="00163043">
        <w:rPr>
          <w:rFonts w:ascii="Times New Roman" w:hAnsi="Times New Roman" w:cs="Times New Roman"/>
        </w:rPr>
        <w:t>Improvement: avoids applying a full LR strategy to every simple construct.</w:t>
      </w:r>
    </w:p>
    <w:p w14:paraId="7CAE424D" w14:textId="77777777" w:rsidR="00080A67" w:rsidRPr="00163043" w:rsidRDefault="00080A67" w:rsidP="00163043">
      <w:pPr>
        <w:pStyle w:val="ListParagraph"/>
        <w:numPr>
          <w:ilvl w:val="0"/>
          <w:numId w:val="5"/>
        </w:numPr>
        <w:rPr>
          <w:rFonts w:ascii="Times New Roman" w:hAnsi="Times New Roman" w:cs="Times New Roman"/>
        </w:rPr>
      </w:pPr>
      <w:r w:rsidRPr="00163043">
        <w:rPr>
          <w:rFonts w:ascii="Times New Roman" w:hAnsi="Times New Roman" w:cs="Times New Roman"/>
        </w:rPr>
        <w:t>Improvement: handles expression precedence explicitly and can generate syntax-tree nodes during parsing.</w:t>
      </w:r>
    </w:p>
    <w:p w14:paraId="4432703E" w14:textId="77777777" w:rsidR="00080A67" w:rsidRPr="00163043" w:rsidRDefault="00080A67" w:rsidP="00163043">
      <w:pPr>
        <w:pStyle w:val="ListParagraph"/>
        <w:numPr>
          <w:ilvl w:val="0"/>
          <w:numId w:val="5"/>
        </w:numPr>
        <w:rPr>
          <w:rFonts w:ascii="Times New Roman" w:hAnsi="Times New Roman" w:cs="Times New Roman"/>
        </w:rPr>
      </w:pPr>
      <w:r w:rsidRPr="00163043">
        <w:rPr>
          <w:rFonts w:ascii="Times New Roman" w:hAnsi="Times New Roman" w:cs="Times New Roman"/>
        </w:rPr>
        <w:t>Trade-off: combines two parsing approaches, so the implementation is more complex than a standalone LL(1) parser.</w:t>
      </w:r>
    </w:p>
    <w:p w14:paraId="5E08E67E" w14:textId="77777777" w:rsidR="00080A67" w:rsidRPr="00163043" w:rsidRDefault="00080A67" w:rsidP="00163043">
      <w:pPr>
        <w:pStyle w:val="ListParagraph"/>
        <w:numPr>
          <w:ilvl w:val="0"/>
          <w:numId w:val="5"/>
        </w:numPr>
        <w:rPr>
          <w:rFonts w:ascii="Times New Roman" w:hAnsi="Times New Roman" w:cs="Times New Roman"/>
        </w:rPr>
      </w:pPr>
      <w:r w:rsidRPr="00163043">
        <w:rPr>
          <w:rFonts w:ascii="Times New Roman" w:hAnsi="Times New Roman" w:cs="Times New Roman"/>
        </w:rPr>
        <w:t>Trade-off: grammar boundaries, shared tokens, and recovery behavior must be designed and tested.</w:t>
      </w:r>
    </w:p>
    <w:p w14:paraId="167F662A" w14:textId="77777777" w:rsidR="00080A67" w:rsidRPr="00163043" w:rsidRDefault="00080A67" w:rsidP="00163043">
      <w:pPr>
        <w:pStyle w:val="ListParagraph"/>
        <w:numPr>
          <w:ilvl w:val="0"/>
          <w:numId w:val="5"/>
        </w:numPr>
        <w:rPr>
          <w:rFonts w:ascii="Times New Roman" w:hAnsi="Times New Roman" w:cs="Times New Roman"/>
        </w:rPr>
      </w:pPr>
      <w:r w:rsidRPr="00163043">
        <w:rPr>
          <w:rFonts w:ascii="Times New Roman" w:hAnsi="Times New Roman" w:cs="Times New Roman"/>
        </w:rPr>
        <w:t>Validation needed: compare correctness, runtime, memory use, and error recovery against standalone LL and LR implementations on the same test inputs.</w:t>
      </w:r>
    </w:p>
    <w:p w14:paraId="307F0C6F" w14:textId="77777777" w:rsidR="00080A67" w:rsidRPr="004F661A" w:rsidRDefault="00080A67" w:rsidP="00080A67">
      <w:pPr>
        <w:rPr>
          <w:rFonts w:ascii="Times New Roman" w:hAnsi="Times New Roman" w:cs="Times New Roman"/>
        </w:rPr>
      </w:pPr>
      <w:r w:rsidRPr="004F661A">
        <w:rPr>
          <w:rFonts w:ascii="Times New Roman" w:hAnsi="Times New Roman" w:cs="Times New Roman"/>
          <w:b/>
          <w:bCs/>
        </w:rPr>
        <w:t>9. Conclusion</w:t>
      </w:r>
    </w:p>
    <w:p w14:paraId="150CDA7D" w14:textId="77777777" w:rsidR="00080A67" w:rsidRDefault="00080A67" w:rsidP="00163043">
      <w:pPr>
        <w:jc w:val="both"/>
        <w:rPr>
          <w:rFonts w:ascii="Times New Roman" w:hAnsi="Times New Roman" w:cs="Times New Roman"/>
        </w:rPr>
      </w:pPr>
      <w:r w:rsidRPr="004F661A">
        <w:rPr>
          <w:rFonts w:ascii="Times New Roman" w:hAnsi="Times New Roman" w:cs="Times New Roman"/>
        </w:rPr>
        <w:t>The Guided Predictive-Reduction Parser is a proposed hybrid design intended to balance readability and parsing capability. It uses LL(1) parsing for predictable constructs and shift-reduce parsing for expressions. Under fixed-grammar and bounded-processing assumptions, it can operate in linear time, but its real effectiveness must be established through implementation and testing. Its main advantage is a clear separation of simple and complex syntax; its main cost is integration complexity.</w:t>
      </w:r>
    </w:p>
    <w:p w14:paraId="028AF7E9" w14:textId="77777777" w:rsidR="00330967" w:rsidRDefault="00330967" w:rsidP="00163043">
      <w:pPr>
        <w:jc w:val="both"/>
        <w:rPr>
          <w:rFonts w:ascii="Times New Roman" w:hAnsi="Times New Roman" w:cs="Times New Roman"/>
        </w:rPr>
      </w:pPr>
    </w:p>
    <w:p w14:paraId="6A68ED0B" w14:textId="6D277598" w:rsidR="00330967" w:rsidRDefault="00330967" w:rsidP="0016304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DD727FB" wp14:editId="5D498910">
            <wp:extent cx="5492750" cy="7897968"/>
            <wp:effectExtent l="0" t="0" r="0" b="8255"/>
            <wp:docPr id="204080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06357" name="Picture 2040806357"/>
                    <pic:cNvPicPr/>
                  </pic:nvPicPr>
                  <pic:blipFill rotWithShape="1">
                    <a:blip r:embed="rId6">
                      <a:extLst>
                        <a:ext uri="{28A0092B-C50C-407E-A947-70E740481C1C}">
                          <a14:useLocalDpi xmlns:a14="http://schemas.microsoft.com/office/drawing/2010/main" val="0"/>
                        </a:ext>
                      </a:extLst>
                    </a:blip>
                    <a:srcRect l="3847" r="3730"/>
                    <a:stretch>
                      <a:fillRect/>
                    </a:stretch>
                  </pic:blipFill>
                  <pic:spPr bwMode="auto">
                    <a:xfrm>
                      <a:off x="0" y="0"/>
                      <a:ext cx="5493304" cy="7898765"/>
                    </a:xfrm>
                    <a:prstGeom prst="rect">
                      <a:avLst/>
                    </a:prstGeom>
                    <a:ln>
                      <a:noFill/>
                    </a:ln>
                    <a:extLst>
                      <a:ext uri="{53640926-AAD7-44D8-BBD7-CCE9431645EC}">
                        <a14:shadowObscured xmlns:a14="http://schemas.microsoft.com/office/drawing/2010/main"/>
                      </a:ext>
                    </a:extLst>
                  </pic:spPr>
                </pic:pic>
              </a:graphicData>
            </a:graphic>
          </wp:inline>
        </w:drawing>
      </w:r>
    </w:p>
    <w:p w14:paraId="13805DBA" w14:textId="77777777" w:rsidR="00330967" w:rsidRDefault="00330967" w:rsidP="00163043">
      <w:pPr>
        <w:jc w:val="both"/>
        <w:rPr>
          <w:rFonts w:ascii="Times New Roman" w:hAnsi="Times New Roman" w:cs="Times New Roman"/>
        </w:rPr>
      </w:pPr>
    </w:p>
    <w:p w14:paraId="7A151BBB" w14:textId="21AC9081" w:rsidR="00330967" w:rsidRDefault="00330967" w:rsidP="0016304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4305677" wp14:editId="63B4260D">
            <wp:extent cx="5596255" cy="7744691"/>
            <wp:effectExtent l="0" t="0" r="4445" b="8890"/>
            <wp:docPr id="128297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4246" name="Picture 1282974246"/>
                    <pic:cNvPicPr/>
                  </pic:nvPicPr>
                  <pic:blipFill rotWithShape="1">
                    <a:blip r:embed="rId7">
                      <a:extLst>
                        <a:ext uri="{28A0092B-C50C-407E-A947-70E740481C1C}">
                          <a14:useLocalDpi xmlns:a14="http://schemas.microsoft.com/office/drawing/2010/main" val="0"/>
                        </a:ext>
                      </a:extLst>
                    </a:blip>
                    <a:srcRect l="816" r="5012" b="1934"/>
                    <a:stretch>
                      <a:fillRect/>
                    </a:stretch>
                  </pic:blipFill>
                  <pic:spPr bwMode="auto">
                    <a:xfrm>
                      <a:off x="0" y="0"/>
                      <a:ext cx="5597231" cy="7746042"/>
                    </a:xfrm>
                    <a:prstGeom prst="rect">
                      <a:avLst/>
                    </a:prstGeom>
                    <a:ln>
                      <a:noFill/>
                    </a:ln>
                    <a:extLst>
                      <a:ext uri="{53640926-AAD7-44D8-BBD7-CCE9431645EC}">
                        <a14:shadowObscured xmlns:a14="http://schemas.microsoft.com/office/drawing/2010/main"/>
                      </a:ext>
                    </a:extLst>
                  </pic:spPr>
                </pic:pic>
              </a:graphicData>
            </a:graphic>
          </wp:inline>
        </w:drawing>
      </w:r>
    </w:p>
    <w:p w14:paraId="6CA90CFE" w14:textId="77777777" w:rsidR="00330967" w:rsidRDefault="00330967" w:rsidP="00163043">
      <w:pPr>
        <w:jc w:val="both"/>
        <w:rPr>
          <w:rFonts w:ascii="Times New Roman" w:hAnsi="Times New Roman" w:cs="Times New Roman"/>
        </w:rPr>
      </w:pPr>
    </w:p>
    <w:p w14:paraId="23EFA5F2" w14:textId="04713D7D" w:rsidR="00330967" w:rsidRPr="004F661A" w:rsidRDefault="00330967" w:rsidP="0016304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750999D" wp14:editId="42CFC800">
            <wp:extent cx="5326380" cy="7841673"/>
            <wp:effectExtent l="0" t="0" r="7620" b="6985"/>
            <wp:docPr id="104322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2507" name="Picture 104322507"/>
                    <pic:cNvPicPr/>
                  </pic:nvPicPr>
                  <pic:blipFill rotWithShape="1">
                    <a:blip r:embed="rId8">
                      <a:extLst>
                        <a:ext uri="{28A0092B-C50C-407E-A947-70E740481C1C}">
                          <a14:useLocalDpi xmlns:a14="http://schemas.microsoft.com/office/drawing/2010/main" val="0"/>
                        </a:ext>
                      </a:extLst>
                    </a:blip>
                    <a:srcRect l="6993" r="3376" b="1470"/>
                    <a:stretch>
                      <a:fillRect/>
                    </a:stretch>
                  </pic:blipFill>
                  <pic:spPr bwMode="auto">
                    <a:xfrm>
                      <a:off x="0" y="0"/>
                      <a:ext cx="5329528" cy="7846308"/>
                    </a:xfrm>
                    <a:prstGeom prst="rect">
                      <a:avLst/>
                    </a:prstGeom>
                    <a:ln>
                      <a:noFill/>
                    </a:ln>
                    <a:extLst>
                      <a:ext uri="{53640926-AAD7-44D8-BBD7-CCE9431645EC}">
                        <a14:shadowObscured xmlns:a14="http://schemas.microsoft.com/office/drawing/2010/main"/>
                      </a:ext>
                    </a:extLst>
                  </pic:spPr>
                </pic:pic>
              </a:graphicData>
            </a:graphic>
          </wp:inline>
        </w:drawing>
      </w:r>
    </w:p>
    <w:p w14:paraId="5AD60BD2" w14:textId="77777777" w:rsidR="001523E4" w:rsidRPr="004F661A" w:rsidRDefault="001523E4">
      <w:pPr>
        <w:rPr>
          <w:rFonts w:ascii="Times New Roman" w:hAnsi="Times New Roman" w:cs="Times New Roman"/>
        </w:rPr>
      </w:pPr>
    </w:p>
    <w:sectPr w:rsidR="001523E4" w:rsidRPr="004F6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E3D"/>
    <w:multiLevelType w:val="hybridMultilevel"/>
    <w:tmpl w:val="BBF8B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01D8B"/>
    <w:multiLevelType w:val="hybridMultilevel"/>
    <w:tmpl w:val="2646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42EF2"/>
    <w:multiLevelType w:val="hybridMultilevel"/>
    <w:tmpl w:val="6EC01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F6F9B"/>
    <w:multiLevelType w:val="hybridMultilevel"/>
    <w:tmpl w:val="D6C0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CD3BAF"/>
    <w:multiLevelType w:val="hybridMultilevel"/>
    <w:tmpl w:val="B316F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82959">
    <w:abstractNumId w:val="3"/>
  </w:num>
  <w:num w:numId="2" w16cid:durableId="826020828">
    <w:abstractNumId w:val="2"/>
  </w:num>
  <w:num w:numId="3" w16cid:durableId="780420161">
    <w:abstractNumId w:val="4"/>
  </w:num>
  <w:num w:numId="4" w16cid:durableId="630785391">
    <w:abstractNumId w:val="1"/>
  </w:num>
  <w:num w:numId="5" w16cid:durableId="163960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67"/>
    <w:rsid w:val="00052B87"/>
    <w:rsid w:val="00080A67"/>
    <w:rsid w:val="001523E4"/>
    <w:rsid w:val="00163043"/>
    <w:rsid w:val="00180D80"/>
    <w:rsid w:val="001B73BC"/>
    <w:rsid w:val="00330967"/>
    <w:rsid w:val="00473E0F"/>
    <w:rsid w:val="004F661A"/>
    <w:rsid w:val="00534948"/>
    <w:rsid w:val="00590B6C"/>
    <w:rsid w:val="008D4C16"/>
    <w:rsid w:val="00A5478D"/>
    <w:rsid w:val="00B4781D"/>
    <w:rsid w:val="00BB4061"/>
    <w:rsid w:val="00C22B84"/>
    <w:rsid w:val="00CE3050"/>
    <w:rsid w:val="00DA1EF9"/>
    <w:rsid w:val="00DB28F4"/>
    <w:rsid w:val="00E652F1"/>
    <w:rsid w:val="00FB48E4"/>
    <w:rsid w:val="00FC2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7782"/>
  <w15:chartTrackingRefBased/>
  <w15:docId w15:val="{8D35C673-3356-4AB6-B0B0-9A0480C6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67"/>
    <w:rPr>
      <w:rFonts w:eastAsiaTheme="majorEastAsia" w:cstheme="majorBidi"/>
      <w:color w:val="272727" w:themeColor="text1" w:themeTint="D8"/>
    </w:rPr>
  </w:style>
  <w:style w:type="paragraph" w:styleId="Title">
    <w:name w:val="Title"/>
    <w:basedOn w:val="Normal"/>
    <w:next w:val="Normal"/>
    <w:link w:val="TitleChar"/>
    <w:uiPriority w:val="10"/>
    <w:qFormat/>
    <w:rsid w:val="00080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67"/>
    <w:pPr>
      <w:spacing w:before="160"/>
      <w:jc w:val="center"/>
    </w:pPr>
    <w:rPr>
      <w:i/>
      <w:iCs/>
      <w:color w:val="404040" w:themeColor="text1" w:themeTint="BF"/>
    </w:rPr>
  </w:style>
  <w:style w:type="character" w:customStyle="1" w:styleId="QuoteChar">
    <w:name w:val="Quote Char"/>
    <w:basedOn w:val="DefaultParagraphFont"/>
    <w:link w:val="Quote"/>
    <w:uiPriority w:val="29"/>
    <w:rsid w:val="00080A67"/>
    <w:rPr>
      <w:i/>
      <w:iCs/>
      <w:color w:val="404040" w:themeColor="text1" w:themeTint="BF"/>
    </w:rPr>
  </w:style>
  <w:style w:type="paragraph" w:styleId="ListParagraph">
    <w:name w:val="List Paragraph"/>
    <w:basedOn w:val="Normal"/>
    <w:uiPriority w:val="34"/>
    <w:qFormat/>
    <w:rsid w:val="00080A67"/>
    <w:pPr>
      <w:ind w:left="720"/>
      <w:contextualSpacing/>
    </w:pPr>
  </w:style>
  <w:style w:type="character" w:styleId="IntenseEmphasis">
    <w:name w:val="Intense Emphasis"/>
    <w:basedOn w:val="DefaultParagraphFont"/>
    <w:uiPriority w:val="21"/>
    <w:qFormat/>
    <w:rsid w:val="00080A67"/>
    <w:rPr>
      <w:i/>
      <w:iCs/>
      <w:color w:val="2F5496" w:themeColor="accent1" w:themeShade="BF"/>
    </w:rPr>
  </w:style>
  <w:style w:type="paragraph" w:styleId="IntenseQuote">
    <w:name w:val="Intense Quote"/>
    <w:basedOn w:val="Normal"/>
    <w:next w:val="Normal"/>
    <w:link w:val="IntenseQuoteChar"/>
    <w:uiPriority w:val="30"/>
    <w:qFormat/>
    <w:rsid w:val="00080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A67"/>
    <w:rPr>
      <w:i/>
      <w:iCs/>
      <w:color w:val="2F5496" w:themeColor="accent1" w:themeShade="BF"/>
    </w:rPr>
  </w:style>
  <w:style w:type="character" w:styleId="IntenseReference">
    <w:name w:val="Intense Reference"/>
    <w:basedOn w:val="DefaultParagraphFont"/>
    <w:uiPriority w:val="32"/>
    <w:qFormat/>
    <w:rsid w:val="00080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2019</Words>
  <Characters>11509</Characters>
  <Application>Microsoft Office Word</Application>
  <DocSecurity>0</DocSecurity>
  <Lines>95</Lines>
  <Paragraphs>27</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Lakshitha Reddy</dc:creator>
  <cp:keywords/>
  <dc:description/>
  <cp:lastModifiedBy>Lakshitha Reddy</cp:lastModifiedBy>
  <cp:revision>2</cp:revision>
  <dcterms:created xsi:type="dcterms:W3CDTF">2026-10-21T15:54:00Z</dcterms:created>
  <dcterms:modified xsi:type="dcterms:W3CDTF">2026-10-21T15:54:00Z</dcterms:modified>
</cp:coreProperties>
</file>