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t>Digital Incident Notification and Evidence Preservation Standard</w:t>
      </w:r>
    </w:p>
    <w:p>
      <w:pPr>
        <w:spacing w:after="320"/>
      </w:pPr>
      <w:r>
        <w:rPr>
          <w:rFonts w:ascii="Aptos" w:hAnsi="Aptos"/>
          <w:b/>
          <w:color w:val="147A71"/>
          <w:sz w:val="24"/>
        </w:rPr>
        <w:t>mamlaLEGALhai demonstration regulation</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560"/>
      </w:tblGrid>
      <w:tr>
        <w:tc>
          <w:tcPr>
            <w:tcW w:type="dxa" w:w="4939"/>
            <w:shd w:fill="123047"/>
            <w:tcMar>
              <w:top w:w="110" w:type="dxa"/>
              <w:start w:w="130" w:type="dxa"/>
              <w:bottom w:w="110" w:type="dxa"/>
              <w:end w:w="130" w:type="dxa"/>
            </w:tcMar>
            <w:vAlign w:val="center"/>
          </w:tcPr>
          <w:p>
            <w:pPr>
              <w:spacing w:after="0"/>
            </w:pPr>
            <w:r>
              <w:rPr>
                <w:rFonts w:ascii="Aptos" w:hAnsi="Aptos"/>
                <w:b/>
                <w:color w:val="FFFFFF"/>
                <w:sz w:val="19"/>
              </w:rPr>
              <w:t>Issuing authority</w:t>
            </w:r>
          </w:p>
        </w:tc>
        <w:tc>
          <w:tcPr>
            <w:tcW w:type="dxa" w:w="4939"/>
            <w:tcMar>
              <w:top w:w="110" w:type="dxa"/>
              <w:start w:w="130" w:type="dxa"/>
              <w:bottom w:w="110" w:type="dxa"/>
              <w:end w:w="130" w:type="dxa"/>
            </w:tcMar>
            <w:vAlign w:val="center"/>
          </w:tcPr>
          <w:p>
            <w:pPr>
              <w:spacing w:after="0"/>
            </w:pPr>
            <w:r>
              <w:rPr>
                <w:rFonts w:ascii="Aptos" w:hAnsi="Aptos"/>
                <w:color w:val="000000"/>
                <w:sz w:val="21"/>
              </w:rPr>
              <w:t>Digital Services Supervisory Authority</w:t>
            </w:r>
          </w:p>
        </w:tc>
      </w:tr>
      <w:tr>
        <w:tc>
          <w:tcPr>
            <w:tcW w:type="dxa" w:w="4939"/>
            <w:shd w:fill="123047"/>
            <w:tcMar>
              <w:top w:w="110" w:type="dxa"/>
              <w:start w:w="130" w:type="dxa"/>
              <w:bottom w:w="110" w:type="dxa"/>
              <w:end w:w="130" w:type="dxa"/>
            </w:tcMar>
            <w:vAlign w:val="center"/>
          </w:tcPr>
          <w:p>
            <w:pPr>
              <w:spacing w:after="0"/>
            </w:pPr>
            <w:r>
              <w:rPr>
                <w:rFonts w:ascii="Aptos" w:hAnsi="Aptos"/>
                <w:b/>
                <w:color w:val="FFFFFF"/>
                <w:sz w:val="19"/>
              </w:rPr>
              <w:t>Jurisdiction</w:t>
            </w:r>
          </w:p>
        </w:tc>
        <w:tc>
          <w:tcPr>
            <w:tcW w:type="dxa" w:w="4939"/>
            <w:shd w:fill="F3F7F8"/>
            <w:tcMar>
              <w:top w:w="110" w:type="dxa"/>
              <w:start w:w="130" w:type="dxa"/>
              <w:bottom w:w="110" w:type="dxa"/>
              <w:end w:w="130" w:type="dxa"/>
            </w:tcMar>
            <w:vAlign w:val="center"/>
          </w:tcPr>
          <w:p>
            <w:pPr>
              <w:spacing w:after="0"/>
            </w:pPr>
            <w:r>
              <w:rPr>
                <w:rFonts w:ascii="Aptos" w:hAnsi="Aptos"/>
                <w:color w:val="000000"/>
                <w:sz w:val="21"/>
              </w:rPr>
              <w:t>Example Union</w:t>
            </w:r>
          </w:p>
        </w:tc>
      </w:tr>
      <w:tr>
        <w:tc>
          <w:tcPr>
            <w:tcW w:type="dxa" w:w="4939"/>
            <w:shd w:fill="123047"/>
            <w:tcMar>
              <w:top w:w="110" w:type="dxa"/>
              <w:start w:w="130" w:type="dxa"/>
              <w:bottom w:w="110" w:type="dxa"/>
              <w:end w:w="130" w:type="dxa"/>
            </w:tcMar>
            <w:vAlign w:val="center"/>
          </w:tcPr>
          <w:p>
            <w:pPr>
              <w:spacing w:after="0"/>
            </w:pPr>
            <w:r>
              <w:rPr>
                <w:rFonts w:ascii="Aptos" w:hAnsi="Aptos"/>
                <w:b/>
                <w:color w:val="FFFFFF"/>
                <w:sz w:val="19"/>
              </w:rPr>
              <w:t>Version</w:t>
            </w:r>
          </w:p>
        </w:tc>
        <w:tc>
          <w:tcPr>
            <w:tcW w:type="dxa" w:w="4939"/>
            <w:tcMar>
              <w:top w:w="110" w:type="dxa"/>
              <w:start w:w="130" w:type="dxa"/>
              <w:bottom w:w="110" w:type="dxa"/>
              <w:end w:w="130" w:type="dxa"/>
            </w:tcMar>
            <w:vAlign w:val="center"/>
          </w:tcPr>
          <w:p>
            <w:pPr>
              <w:spacing w:after="0"/>
            </w:pPr>
            <w:r>
              <w:rPr>
                <w:rFonts w:ascii="Aptos" w:hAnsi="Aptos"/>
                <w:color w:val="000000"/>
                <w:sz w:val="21"/>
              </w:rPr>
              <w:t>2.1</w:t>
            </w:r>
          </w:p>
        </w:tc>
      </w:tr>
      <w:tr>
        <w:tc>
          <w:tcPr>
            <w:tcW w:type="dxa" w:w="4939"/>
            <w:shd w:fill="123047"/>
            <w:tcMar>
              <w:top w:w="110" w:type="dxa"/>
              <w:start w:w="130" w:type="dxa"/>
              <w:bottom w:w="110" w:type="dxa"/>
              <w:end w:w="130" w:type="dxa"/>
            </w:tcMar>
            <w:vAlign w:val="center"/>
          </w:tcPr>
          <w:p>
            <w:pPr>
              <w:spacing w:after="0"/>
            </w:pPr>
            <w:r>
              <w:rPr>
                <w:rFonts w:ascii="Aptos" w:hAnsi="Aptos"/>
                <w:b/>
                <w:color w:val="FFFFFF"/>
                <w:sz w:val="19"/>
              </w:rPr>
              <w:t>Effective date</w:t>
            </w:r>
          </w:p>
        </w:tc>
        <w:tc>
          <w:tcPr>
            <w:tcW w:type="dxa" w:w="4939"/>
            <w:shd w:fill="F3F7F8"/>
            <w:tcMar>
              <w:top w:w="110" w:type="dxa"/>
              <w:start w:w="130" w:type="dxa"/>
              <w:bottom w:w="110" w:type="dxa"/>
              <w:end w:w="130" w:type="dxa"/>
            </w:tcMar>
            <w:vAlign w:val="center"/>
          </w:tcPr>
          <w:p>
            <w:pPr>
              <w:spacing w:after="0"/>
            </w:pPr>
            <w:r>
              <w:rPr>
                <w:rFonts w:ascii="Aptos" w:hAnsi="Aptos"/>
                <w:color w:val="000000"/>
                <w:sz w:val="21"/>
              </w:rPr>
              <w:t>1 January 2027</w:t>
            </w:r>
          </w:p>
        </w:tc>
      </w:tr>
    </w:tbl>
    <w:p>
      <w:pPr>
        <w:spacing w:before="320" w:after="280" w:line="276" w:lineRule="auto"/>
      </w:pPr>
      <w:r>
        <w:rPr>
          <w:rFonts w:ascii="Aptos" w:hAnsi="Aptos"/>
          <w:color w:val="000000"/>
          <w:sz w:val="22"/>
        </w:rPr>
        <w:t>This standard establishes mandatory notification, communication, evidence preservation, and review requirements for significant digital incidents. Regulated organizations must maintain traceable evidence of every decision made under this standard.</w:t>
      </w:r>
    </w:p>
    <w:p>
      <w:pPr>
        <w:pStyle w:val="Heading1"/>
      </w:pPr>
      <w:r>
        <w:t>Scope and definitions</w:t>
      </w:r>
    </w:p>
    <w:p>
      <w:pPr>
        <w:pStyle w:val="BodyText"/>
        <w:keepNext w:val="0"/>
        <w:spacing w:after="140" w:line="269" w:lineRule="auto"/>
        <w:ind w:left="490" w:hanging="490"/>
      </w:pPr>
      <w:r>
        <w:rPr>
          <w:rFonts w:ascii="Aptos" w:hAnsi="Aptos"/>
          <w:b/>
          <w:color w:val="000000"/>
          <w:sz w:val="22"/>
        </w:rPr>
        <w:t xml:space="preserve">1.1  </w:t>
      </w:r>
      <w:r>
        <w:rPr>
          <w:rFonts w:ascii="Aptos" w:hAnsi="Aptos"/>
          <w:color w:val="000000"/>
          <w:sz w:val="22"/>
        </w:rPr>
        <w:t>This standard applies to every data controller, digital service provider, and contracted processor that handles protected personal data within the Example Union.</w:t>
      </w:r>
    </w:p>
    <w:p>
      <w:pPr>
        <w:pStyle w:val="BodyText"/>
        <w:keepNext w:val="0"/>
        <w:spacing w:after="140" w:line="269" w:lineRule="auto"/>
        <w:ind w:left="490" w:hanging="490"/>
      </w:pPr>
      <w:r>
        <w:rPr>
          <w:rFonts w:ascii="Aptos" w:hAnsi="Aptos"/>
          <w:b/>
          <w:color w:val="000000"/>
          <w:sz w:val="22"/>
        </w:rPr>
        <w:t xml:space="preserve">1.2  </w:t>
      </w:r>
      <w:r>
        <w:rPr>
          <w:rFonts w:ascii="Aptos" w:hAnsi="Aptos"/>
          <w:color w:val="000000"/>
          <w:sz w:val="22"/>
        </w:rPr>
        <w:t>A "significant digital incident" means an event that compromises the confidentiality, integrity, or availability of protected personal data or a critical digital service.</w:t>
      </w:r>
    </w:p>
    <w:p>
      <w:pPr>
        <w:pStyle w:val="Heading1"/>
      </w:pPr>
      <w:r>
        <w:t>Authority notification</w:t>
      </w:r>
    </w:p>
    <w:p>
      <w:pPr>
        <w:pStyle w:val="BodyText"/>
        <w:keepNext w:val="0"/>
        <w:spacing w:after="140" w:line="269" w:lineRule="auto"/>
        <w:ind w:left="490" w:hanging="490"/>
      </w:pPr>
      <w:r>
        <w:rPr>
          <w:rFonts w:ascii="Aptos" w:hAnsi="Aptos"/>
          <w:b/>
          <w:color w:val="000000"/>
          <w:sz w:val="22"/>
        </w:rPr>
        <w:t xml:space="preserve">2.1  </w:t>
      </w:r>
      <w:r>
        <w:rPr>
          <w:rFonts w:ascii="Aptos" w:hAnsi="Aptos"/>
          <w:color w:val="000000"/>
          <w:sz w:val="22"/>
        </w:rPr>
        <w:t>A data controller must notify the Digital Services Supervisory Authority of a significant digital incident without undue delay and, where feasible, no later than 72 hours after becoming aware of the incident, unless the incident is unlikely to create a risk to the rights and freedoms of affected individuals.</w:t>
      </w:r>
    </w:p>
    <w:p>
      <w:pPr>
        <w:pStyle w:val="BodyText"/>
        <w:keepNext w:val="0"/>
        <w:spacing w:after="140" w:line="269" w:lineRule="auto"/>
        <w:ind w:left="490" w:hanging="490"/>
      </w:pPr>
      <w:r>
        <w:rPr>
          <w:rFonts w:ascii="Aptos" w:hAnsi="Aptos"/>
          <w:b/>
          <w:color w:val="000000"/>
          <w:sz w:val="22"/>
        </w:rPr>
        <w:t xml:space="preserve">2.2  </w:t>
      </w:r>
      <w:r>
        <w:rPr>
          <w:rFonts w:ascii="Aptos" w:hAnsi="Aptos"/>
          <w:color w:val="000000"/>
          <w:sz w:val="22"/>
        </w:rPr>
        <w:t>The notification shall describe the nature of the incident, identify the affected categories of data, estimate the number of affected individuals, state the likely consequences, and provide the contact details of the responsible compliance officer.</w:t>
      </w:r>
    </w:p>
    <w:p>
      <w:pPr>
        <w:pStyle w:val="BodyText"/>
        <w:keepNext w:val="0"/>
        <w:spacing w:after="140" w:line="269" w:lineRule="auto"/>
        <w:ind w:left="490" w:hanging="490"/>
      </w:pPr>
      <w:r>
        <w:rPr>
          <w:rFonts w:ascii="Aptos" w:hAnsi="Aptos"/>
          <w:b/>
          <w:color w:val="000000"/>
          <w:sz w:val="22"/>
        </w:rPr>
        <w:t xml:space="preserve">2.3  </w:t>
      </w:r>
      <w:r>
        <w:rPr>
          <w:rFonts w:ascii="Aptos" w:hAnsi="Aptos"/>
          <w:color w:val="000000"/>
          <w:sz w:val="22"/>
        </w:rPr>
        <w:t>If the controller submits the notification after the 72-hour period, the controller must document the reasons for the delay and provide that explanation to the Authority with the notification.</w:t>
      </w:r>
    </w:p>
    <w:p>
      <w:pPr>
        <w:pStyle w:val="BodyText"/>
        <w:keepNext w:val="0"/>
        <w:spacing w:after="140" w:line="269" w:lineRule="auto"/>
        <w:ind w:left="490" w:hanging="490"/>
      </w:pPr>
      <w:r>
        <w:rPr>
          <w:rFonts w:ascii="Aptos" w:hAnsi="Aptos"/>
          <w:b/>
          <w:color w:val="000000"/>
          <w:sz w:val="22"/>
        </w:rPr>
        <w:t xml:space="preserve">2.4  </w:t>
      </w:r>
      <w:r>
        <w:rPr>
          <w:rFonts w:ascii="Aptos" w:hAnsi="Aptos"/>
          <w:color w:val="000000"/>
          <w:sz w:val="22"/>
        </w:rPr>
        <w:t>Where all required information is not available at the same time, the controller may provide the information in phases, provided that each later submission is made without avoidable delay.</w:t>
      </w:r>
    </w:p>
    <w:p>
      <w:pPr>
        <w:pStyle w:val="Heading1"/>
      </w:pPr>
      <w:r>
        <w:t>Communication with affected individuals</w:t>
      </w:r>
    </w:p>
    <w:p>
      <w:pPr>
        <w:pStyle w:val="BodyText"/>
        <w:keepNext/>
        <w:spacing w:after="140" w:line="269" w:lineRule="auto"/>
        <w:ind w:left="490" w:hanging="490"/>
      </w:pPr>
      <w:r>
        <w:rPr>
          <w:rFonts w:ascii="Aptos" w:hAnsi="Aptos"/>
          <w:b/>
          <w:color w:val="000000"/>
          <w:sz w:val="22"/>
        </w:rPr>
        <w:t xml:space="preserve">3.1  </w:t>
      </w:r>
      <w:r>
        <w:rPr>
          <w:rFonts w:ascii="Aptos" w:hAnsi="Aptos"/>
          <w:color w:val="000000"/>
          <w:sz w:val="22"/>
        </w:rPr>
        <w:t>The controller must inform affected individuals without undue delay when the incident is likely to result in a high risk to their rights and freedoms.</w:t>
      </w:r>
    </w:p>
    <w:p>
      <w:pPr>
        <w:pStyle w:val="BodyText"/>
        <w:keepNext w:val="0"/>
        <w:spacing w:after="140" w:line="269" w:lineRule="auto"/>
        <w:ind w:left="490" w:hanging="490"/>
      </w:pPr>
      <w:r>
        <w:rPr>
          <w:rFonts w:ascii="Aptos" w:hAnsi="Aptos"/>
          <w:b/>
          <w:color w:val="000000"/>
          <w:sz w:val="22"/>
        </w:rPr>
        <w:t xml:space="preserve">3.2  </w:t>
      </w:r>
      <w:r>
        <w:rPr>
          <w:rFonts w:ascii="Aptos" w:hAnsi="Aptos"/>
          <w:color w:val="000000"/>
          <w:sz w:val="22"/>
        </w:rPr>
        <w:t>The communication shall use clear language and shall describe the incident, the likely consequences, the protective measures taken, and the contact point for further information.</w:t>
      </w:r>
    </w:p>
    <w:p>
      <w:pPr>
        <w:pStyle w:val="BodyText"/>
        <w:keepNext w:val="0"/>
        <w:spacing w:after="140" w:line="269" w:lineRule="auto"/>
        <w:ind w:left="490" w:hanging="490"/>
      </w:pPr>
      <w:r>
        <w:rPr>
          <w:rFonts w:ascii="Aptos" w:hAnsi="Aptos"/>
          <w:b/>
          <w:color w:val="000000"/>
          <w:sz w:val="22"/>
        </w:rPr>
        <w:t xml:space="preserve">3.3  </w:t>
      </w:r>
      <w:r>
        <w:rPr>
          <w:rFonts w:ascii="Aptos" w:hAnsi="Aptos"/>
          <w:color w:val="000000"/>
          <w:sz w:val="22"/>
        </w:rPr>
        <w:t>The controller may delay the communication where immediate disclosure would prejudice an active law-enforcement investigation, provided that the controller records the legal basis, approving officer, and expected end date of the delay.</w:t>
      </w:r>
    </w:p>
    <w:p>
      <w:pPr>
        <w:pStyle w:val="Heading1"/>
      </w:pPr>
      <w:r>
        <w:t>Evidence preservation and conduct</w:t>
      </w:r>
    </w:p>
    <w:p>
      <w:pPr>
        <w:pStyle w:val="BodyText"/>
        <w:keepNext w:val="0"/>
        <w:spacing w:after="140" w:line="269" w:lineRule="auto"/>
        <w:ind w:left="490" w:hanging="490"/>
      </w:pPr>
      <w:r>
        <w:rPr>
          <w:rFonts w:ascii="Aptos" w:hAnsi="Aptos"/>
          <w:b/>
          <w:color w:val="000000"/>
          <w:sz w:val="22"/>
        </w:rPr>
        <w:t xml:space="preserve">4.1  </w:t>
      </w:r>
      <w:r>
        <w:rPr>
          <w:rFonts w:ascii="Aptos" w:hAnsi="Aptos"/>
          <w:color w:val="000000"/>
          <w:sz w:val="22"/>
        </w:rPr>
        <w:t>The organization shall preserve incident reports, system logs, notification evidence, reviewer decisions, and supporting records for seven years from the date the incident is closed.</w:t>
      </w:r>
    </w:p>
    <w:p>
      <w:pPr>
        <w:pStyle w:val="BodyText"/>
        <w:keepNext w:val="0"/>
        <w:spacing w:after="140" w:line="269" w:lineRule="auto"/>
        <w:ind w:left="490" w:hanging="490"/>
      </w:pPr>
      <w:r>
        <w:rPr>
          <w:rFonts w:ascii="Aptos" w:hAnsi="Aptos"/>
          <w:b/>
          <w:color w:val="000000"/>
          <w:sz w:val="22"/>
        </w:rPr>
        <w:t xml:space="preserve">4.2  </w:t>
      </w:r>
      <w:r>
        <w:rPr>
          <w:rFonts w:ascii="Aptos" w:hAnsi="Aptos"/>
          <w:color w:val="000000"/>
          <w:sz w:val="22"/>
        </w:rPr>
        <w:t>An employee, contractor, or officer must not delete, alter, conceal, or fabricate evidence connected to a reportable incident.</w:t>
      </w:r>
    </w:p>
    <w:p>
      <w:pPr>
        <w:pStyle w:val="BodyText"/>
        <w:keepNext w:val="0"/>
        <w:spacing w:after="140" w:line="269" w:lineRule="auto"/>
        <w:ind w:left="490" w:hanging="490"/>
      </w:pPr>
      <w:r>
        <w:rPr>
          <w:rFonts w:ascii="Aptos" w:hAnsi="Aptos"/>
          <w:b/>
          <w:color w:val="000000"/>
          <w:sz w:val="22"/>
        </w:rPr>
        <w:t xml:space="preserve">4.3  </w:t>
      </w:r>
      <w:r>
        <w:rPr>
          <w:rFonts w:ascii="Aptos" w:hAnsi="Aptos"/>
          <w:color w:val="000000"/>
          <w:sz w:val="22"/>
        </w:rPr>
        <w:t>The compliance officer must review every incident record at least once every 12 months and shall record whether the evidence remains complete, accessible, and attributable.</w:t>
      </w:r>
    </w:p>
    <w:p>
      <w:pPr>
        <w:pStyle w:val="Heading1"/>
      </w:pPr>
      <w:r>
        <w:t>Processor and governance duties</w:t>
      </w:r>
    </w:p>
    <w:p>
      <w:pPr>
        <w:pStyle w:val="BodyText"/>
        <w:keepNext w:val="0"/>
        <w:spacing w:after="140" w:line="269" w:lineRule="auto"/>
        <w:ind w:left="490" w:hanging="490"/>
      </w:pPr>
      <w:r>
        <w:rPr>
          <w:rFonts w:ascii="Aptos" w:hAnsi="Aptos"/>
          <w:b/>
          <w:color w:val="000000"/>
          <w:sz w:val="22"/>
        </w:rPr>
        <w:t xml:space="preserve">5.1  </w:t>
      </w:r>
      <w:r>
        <w:rPr>
          <w:rFonts w:ascii="Aptos" w:hAnsi="Aptos"/>
          <w:color w:val="000000"/>
          <w:sz w:val="22"/>
        </w:rPr>
        <w:t>A contracted processor shall notify the responsible controller within 24 hours after becoming aware of a significant digital incident and must provide the evidence required under section 4.1.</w:t>
      </w:r>
    </w:p>
    <w:p>
      <w:pPr>
        <w:pStyle w:val="BodyText"/>
        <w:keepNext w:val="0"/>
        <w:spacing w:after="140" w:line="269" w:lineRule="auto"/>
        <w:ind w:left="490" w:hanging="490"/>
      </w:pPr>
      <w:r>
        <w:rPr>
          <w:rFonts w:ascii="Aptos" w:hAnsi="Aptos"/>
          <w:b/>
          <w:color w:val="000000"/>
          <w:sz w:val="22"/>
        </w:rPr>
        <w:t xml:space="preserve">5.2  </w:t>
      </w:r>
      <w:r>
        <w:rPr>
          <w:rFonts w:ascii="Aptos" w:hAnsi="Aptos"/>
          <w:color w:val="000000"/>
          <w:sz w:val="22"/>
        </w:rPr>
        <w:t>The board risk committee should review aggregated incident trends each quarter and may require corrective action where repeated control failures are identified.</w:t>
      </w:r>
    </w:p>
    <w:p>
      <w:pPr>
        <w:pStyle w:val="BodyText"/>
        <w:keepNext w:val="0"/>
        <w:spacing w:after="140" w:line="269" w:lineRule="auto"/>
        <w:ind w:left="490" w:hanging="490"/>
      </w:pPr>
      <w:r>
        <w:rPr>
          <w:rFonts w:ascii="Aptos" w:hAnsi="Aptos"/>
          <w:b/>
          <w:color w:val="000000"/>
          <w:sz w:val="22"/>
        </w:rPr>
        <w:t xml:space="preserve">5.3  </w:t>
      </w:r>
      <w:r>
        <w:rPr>
          <w:rFonts w:ascii="Aptos" w:hAnsi="Aptos"/>
          <w:color w:val="000000"/>
          <w:sz w:val="22"/>
        </w:rPr>
        <w:t>Before closing an incident, the responsible compliance officer must confirm that all mandatory notifications, communications, evidence-retention actions, and reviewer decisions have been completed.</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670"/>
        <w:sz w:val="17"/>
      </w:rPr>
      <w:t>Digital Incident Notification and Evidence Preservation Standard | Version 2.1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Incident Notification and Evidence Preservation Standard</dc:title>
  <dc:subject>RegulaTrace demonstration source document</dc:subject>
  <dc:creator>RegulaTrace Project Team</dc:creator>
  <cp:keywords>regulation, incident notification, evidence preservation, compliance</cp:keywords>
  <dc:description>generated by python-docx</dc:description>
  <cp:lastModifiedBy/>
  <cp:revision>1</cp:revision>
  <dcterms:created xsi:type="dcterms:W3CDTF">2013-12-23T23:15:00Z</dcterms:created>
  <dcterms:modified xsi:type="dcterms:W3CDTF">2013-12-23T23:15:00Z</dcterms:modified>
  <cp:category/>
</cp:coreProperties>
</file>