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Arial" w:hAnsi="Arial"/>
          <w:b/>
          <w:color w:val="0D9488"/>
          <w:sz w:val="20"/>
        </w:rPr>
        <w:t>INDOVISION SERVICES</w:t>
      </w:r>
    </w:p>
    <w:p>
      <w:pPr>
        <w:spacing w:after="80"/>
      </w:pPr>
      <w:r>
        <w:rPr>
          <w:rFonts w:ascii="Arial" w:hAnsi="Arial"/>
          <w:b/>
          <w:color w:val="0F2942"/>
          <w:sz w:val="40"/>
        </w:rPr>
        <w:t>Business Requirements Document (BRD)</w:t>
      </w:r>
    </w:p>
    <w:p>
      <w:pPr>
        <w:spacing w:after="280"/>
      </w:pPr>
      <w:r>
        <w:rPr>
          <w:rFonts w:ascii="Arial" w:hAnsi="Arial"/>
          <w:i/>
          <w:color w:val="64748B"/>
          <w:sz w:val="19"/>
        </w:rPr>
        <w:t>Project: Workpulse | Application Version: 2.0.2 | Platforms: Windows 10/11 x64 &amp; macOS 12+ (Universal)</w:t>
      </w:r>
    </w:p>
    <w:p>
      <w:pPr>
        <w:spacing w:after="280"/>
      </w:pPr>
      <w:r>
        <w:rPr>
          <w:rFonts w:ascii="Arial" w:hAnsi="Arial"/>
          <w:color w:val="0D9488"/>
          <w:sz w:val="20"/>
        </w:rPr>
        <w:t>――――――――――――――――――――――――――――――――――――――――――――――――――――――――――</w:t>
      </w:r>
    </w:p>
    <w:p>
      <w:pPr>
        <w:keepNext/>
        <w:spacing w:before="280" w:after="120"/>
      </w:pPr>
      <w:r>
        <w:rPr>
          <w:rFonts w:ascii="Arial" w:hAnsi="Arial"/>
          <w:b/>
          <w:color w:val="0F2942"/>
          <w:sz w:val="28"/>
        </w:rPr>
        <w:t>1. Executive Summary</w:t>
      </w:r>
    </w:p>
    <w:p>
      <w:pPr>
        <w:spacing w:after="120" w:line="276" w:lineRule="auto"/>
      </w:pPr>
      <w:r>
        <w:rPr>
          <w:rFonts w:ascii="Arial" w:hAnsi="Arial"/>
          <w:color w:val="2D3748"/>
          <w:sz w:val="20"/>
        </w:rPr>
        <w:t>Workpulse is an enterprise-grade desktop productivity monitoring, attendance verification, and timesheet management agent developed by Indovision Services. Built with Python 3.12 and PySide6, Workpulse provides a unified, cross-platform client for Windows 10/11 and macOS 12+ that operates unobtrusively to record application usage, monitor system health, synchronize attendance records, and support automated self-updating.</w:t>
      </w:r>
    </w:p>
    <w:p>
      <w:pPr>
        <w:keepNext/>
        <w:spacing w:before="280" w:after="120"/>
      </w:pPr>
      <w:r>
        <w:rPr>
          <w:rFonts w:ascii="Arial" w:hAnsi="Arial"/>
          <w:b/>
          <w:color w:val="0F2942"/>
          <w:sz w:val="28"/>
        </w:rPr>
        <w:t>2. Business Objectives &amp; Strategic Drivers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2D3748"/>
          <w:sz w:val="20"/>
        </w:rPr>
        <w:t xml:space="preserve">Automated Productivity Tracking: </w:t>
      </w:r>
      <w:r>
        <w:rPr>
          <w:rFonts w:ascii="Arial" w:hAnsi="Arial"/>
          <w:color w:val="2D3748"/>
          <w:sz w:val="20"/>
        </w:rPr>
        <w:t>Provide automated, tamper-resilient tracking of active applications, window titles, and exact focus durations across employee workstations.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2D3748"/>
          <w:sz w:val="20"/>
        </w:rPr>
        <w:t xml:space="preserve">Smart Inactivity Detection: </w:t>
      </w:r>
      <w:r>
        <w:rPr>
          <w:rFonts w:ascii="Arial" w:hAnsi="Arial"/>
          <w:color w:val="2D3748"/>
          <w:sz w:val="20"/>
        </w:rPr>
        <w:t>Distinguish genuine active work from idle periods using hardware input event timers without invasive surveillance.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2D3748"/>
          <w:sz w:val="20"/>
        </w:rPr>
        <w:t xml:space="preserve">Unified HRMS Synchronization: </w:t>
      </w:r>
      <w:r>
        <w:rPr>
          <w:rFonts w:ascii="Arial" w:hAnsi="Arial"/>
          <w:color w:val="2D3748"/>
          <w:sz w:val="20"/>
        </w:rPr>
        <w:t>Eliminate attendance discrepancies by synchronizing biometric punch timestamps and monthly calendar statuses directly into the desktop dashboard.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2D3748"/>
          <w:sz w:val="20"/>
        </w:rPr>
        <w:t xml:space="preserve">Streamlined Timesheet PMS: </w:t>
      </w:r>
      <w:r>
        <w:rPr>
          <w:rFonts w:ascii="Arial" w:hAnsi="Arial"/>
          <w:color w:val="2D3748"/>
          <w:sz w:val="20"/>
        </w:rPr>
        <w:t>Enable employees to review daily Key Result Areas (KRAs), log task completion remarks, and submit timesheets directly from the desktop client.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2D3748"/>
          <w:sz w:val="20"/>
        </w:rPr>
        <w:t xml:space="preserve">Local-First Resilience: </w:t>
      </w:r>
      <w:r>
        <w:rPr>
          <w:rFonts w:ascii="Arial" w:hAnsi="Arial"/>
          <w:color w:val="2D3748"/>
          <w:sz w:val="20"/>
        </w:rPr>
        <w:t>Maintain full functionality and data buffering during network outages with zero data loss upon reconnection.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2D3748"/>
          <w:sz w:val="20"/>
        </w:rPr>
        <w:t xml:space="preserve">Autonomous Maintenance: </w:t>
      </w:r>
      <w:r>
        <w:rPr>
          <w:rFonts w:ascii="Arial" w:hAnsi="Arial"/>
          <w:color w:val="2D3748"/>
          <w:sz w:val="20"/>
        </w:rPr>
        <w:t>Ensure fleet-wide application consistency through silent, zero-touch auto-updates driven strictly by the backend API.</w:t>
      </w:r>
    </w:p>
    <w:p>
      <w:pPr>
        <w:keepNext/>
        <w:spacing w:before="280" w:after="120"/>
      </w:pPr>
      <w:r>
        <w:rPr>
          <w:rFonts w:ascii="Arial" w:hAnsi="Arial"/>
          <w:b/>
          <w:color w:val="0F2942"/>
          <w:sz w:val="28"/>
        </w:rPr>
        <w:t>3. Stakeholder Roles &amp; User Personas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592"/>
            <w:shd w:fill="0F294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Stakeholder / Role</w:t>
            </w:r>
          </w:p>
        </w:tc>
        <w:tc>
          <w:tcPr>
            <w:tcW w:type="dxa" w:w="3600"/>
            <w:shd w:fill="0F294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Primary Responsibilities</w:t>
            </w:r>
          </w:p>
        </w:tc>
        <w:tc>
          <w:tcPr>
            <w:tcW w:type="dxa" w:w="3600"/>
            <w:shd w:fill="0F294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Core System Requirements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Employee / User</w:t>
            </w:r>
          </w:p>
        </w:tc>
        <w:tc>
          <w:tcPr>
            <w:tcW w:type="dxa" w:w="360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Perform daily tasks, review logged time, check punch status, submit timesheets</w:t>
            </w:r>
          </w:p>
        </w:tc>
        <w:tc>
          <w:tcPr>
            <w:tcW w:type="dxa" w:w="360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Clean UI, transparent tracking status, accurate attendance display, seamless HRMS access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HR / Operations Manager</w:t>
            </w:r>
          </w:p>
        </w:tc>
        <w:tc>
          <w:tcPr>
            <w:tcW w:type="dxa" w:w="3600"/>
            <w:shd w:fill="F8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Monitor workforce attendance, review KRA timesheets, approve leave quotas</w:t>
            </w:r>
          </w:p>
        </w:tc>
        <w:tc>
          <w:tcPr>
            <w:tcW w:type="dxa" w:w="3600"/>
            <w:shd w:fill="F8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Accurate punch timestamps, verified activity batches, reliable leave balance visibility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IT Administrator</w:t>
            </w:r>
          </w:p>
        </w:tc>
        <w:tc>
          <w:tcPr>
            <w:tcW w:type="dxa" w:w="360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Deploy and maintain client fleet, manage updates, ensure endpoint security</w:t>
            </w:r>
          </w:p>
        </w:tc>
        <w:tc>
          <w:tcPr>
            <w:tcW w:type="dxa" w:w="360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Silent Inno Setup / DMG deployment, low CPU/RAM overhead, secure TLS communication, auto-update loop prevention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Executive Leadership</w:t>
            </w:r>
          </w:p>
        </w:tc>
        <w:tc>
          <w:tcPr>
            <w:tcW w:type="dxa" w:w="3600"/>
            <w:shd w:fill="F8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Analyze department productivity trends, system utilization, workforce performance</w:t>
            </w:r>
          </w:p>
        </w:tc>
        <w:tc>
          <w:tcPr>
            <w:tcW w:type="dxa" w:w="3600"/>
            <w:shd w:fill="F8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Consolidated cloud analytics, high telemetry accuracy, audit-ready data retention</w:t>
            </w:r>
          </w:p>
        </w:tc>
      </w:tr>
    </w:tbl>
    <w:p>
      <w:pPr>
        <w:spacing w:after="160"/>
      </w:pPr>
    </w:p>
    <w:p>
      <w:pPr>
        <w:keepNext/>
        <w:spacing w:before="280" w:after="120"/>
      </w:pPr>
      <w:r>
        <w:rPr>
          <w:rFonts w:ascii="Arial" w:hAnsi="Arial"/>
          <w:b/>
          <w:color w:val="0F2942"/>
          <w:sz w:val="28"/>
        </w:rPr>
        <w:t>4. Scope &amp; Feature Capabilities</w:t>
      </w:r>
    </w:p>
    <w:p>
      <w:pPr>
        <w:keepNext/>
        <w:spacing w:before="200" w:after="80"/>
      </w:pPr>
      <w:r>
        <w:rPr>
          <w:rFonts w:ascii="Arial" w:hAnsi="Arial"/>
          <w:b/>
          <w:color w:val="0D9488"/>
          <w:sz w:val="23"/>
        </w:rPr>
        <w:t>4.1 Core In-Scope Capabilities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2D3748"/>
          <w:sz w:val="20"/>
        </w:rPr>
        <w:t xml:space="preserve">Multi-Tenant Bootstrap: </w:t>
      </w:r>
      <w:r>
        <w:rPr>
          <w:rFonts w:ascii="Arial" w:hAnsi="Arial"/>
          <w:color w:val="2D3748"/>
          <w:sz w:val="20"/>
        </w:rPr>
        <w:t>Dynamic company bootstrap and tenant configuration via AppController (/appcontroller/appcontroller).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2D3748"/>
          <w:sz w:val="20"/>
        </w:rPr>
        <w:t xml:space="preserve">Secure Authentication: </w:t>
      </w:r>
      <w:r>
        <w:rPr>
          <w:rFonts w:ascii="Arial" w:hAnsi="Arial"/>
          <w:color w:val="2D3748"/>
          <w:sz w:val="20"/>
        </w:rPr>
        <w:t>Employee authentication with scoped device token binding (/tracking/enroll_device).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2D3748"/>
          <w:sz w:val="20"/>
        </w:rPr>
        <w:t xml:space="preserve">Activity State Engine: </w:t>
      </w:r>
      <w:r>
        <w:rPr>
          <w:rFonts w:ascii="Arial" w:hAnsi="Arial"/>
          <w:color w:val="2D3748"/>
          <w:sz w:val="20"/>
        </w:rPr>
        <w:t>Active foreground window title and process ID monitoring with context-preserving idle detection.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2D3748"/>
          <w:sz w:val="20"/>
        </w:rPr>
        <w:t xml:space="preserve">Batch Synchronization: </w:t>
      </w:r>
      <w:r>
        <w:rPr>
          <w:rFonts w:ascii="Arial" w:hAnsi="Arial"/>
          <w:color w:val="2D3748"/>
          <w:sz w:val="20"/>
        </w:rPr>
        <w:t>Local ACID SQLite database storage with automatic transactional batch syncing (/tracking/save_activity_batch).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2D3748"/>
          <w:sz w:val="20"/>
        </w:rPr>
        <w:t xml:space="preserve">Screenshot Management: </w:t>
      </w:r>
      <w:r>
        <w:rPr>
          <w:rFonts w:ascii="Arial" w:hAnsi="Arial"/>
          <w:color w:val="2D3748"/>
          <w:sz w:val="20"/>
        </w:rPr>
        <w:t>Periodic JPEG desktop screen capture with offline queuing and macOS Screen Recording permission handling.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2D3748"/>
          <w:sz w:val="20"/>
        </w:rPr>
        <w:t xml:space="preserve">System Health Telemetry: </w:t>
      </w:r>
      <w:r>
        <w:rPr>
          <w:rFonts w:ascii="Arial" w:hAnsi="Arial"/>
          <w:color w:val="2D3748"/>
          <w:sz w:val="20"/>
        </w:rPr>
        <w:t>Continuous sampling of CPU, RAM, Disk, Battery, and Network metrics (/utils/system_health.py).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2D3748"/>
          <w:sz w:val="20"/>
        </w:rPr>
        <w:t xml:space="preserve">Attendance &amp; Leave Portal: </w:t>
      </w:r>
      <w:r>
        <w:rPr>
          <w:rFonts w:ascii="Arial" w:hAnsi="Arial"/>
          <w:color w:val="2D3748"/>
          <w:sz w:val="20"/>
        </w:rPr>
        <w:t>Interactive attendance calendar, punch time card, and dynamic leave balance modal.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2D3748"/>
          <w:sz w:val="20"/>
        </w:rPr>
        <w:t xml:space="preserve">Task PMS &amp; Timesheets: </w:t>
      </w:r>
      <w:r>
        <w:rPr>
          <w:rFonts w:ascii="Arial" w:hAnsi="Arial"/>
          <w:color w:val="2D3748"/>
          <w:sz w:val="20"/>
        </w:rPr>
        <w:t>Interactive KRA timesheet table with draft save and final submission (/TaskPMS/fill_time_sheet).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2D3748"/>
          <w:sz w:val="20"/>
        </w:rPr>
        <w:t xml:space="preserve">HRMS Portal SSO: </w:t>
      </w:r>
      <w:r>
        <w:rPr>
          <w:rFonts w:ascii="Arial" w:hAnsi="Arial"/>
          <w:color w:val="2D3748"/>
          <w:sz w:val="20"/>
        </w:rPr>
        <w:t>One-click single sign-on bridge launching the HRMS Web Portal with automated credential passing.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2D3748"/>
          <w:sz w:val="20"/>
        </w:rPr>
        <w:t xml:space="preserve">Authoritative Auto-Updates: </w:t>
      </w:r>
      <w:r>
        <w:rPr>
          <w:rFonts w:ascii="Arial" w:hAnsi="Arial"/>
          <w:color w:val="2D3748"/>
          <w:sz w:val="20"/>
        </w:rPr>
        <w:t>Semantic version checking (/punch/check_new_version) with silent Inno Setup installation and update loop guards.</w:t>
      </w:r>
    </w:p>
    <w:p>
      <w:pPr>
        <w:keepNext/>
        <w:spacing w:before="200" w:after="80"/>
      </w:pPr>
      <w:r>
        <w:rPr>
          <w:rFonts w:ascii="Arial" w:hAnsi="Arial"/>
          <w:b/>
          <w:color w:val="0D9488"/>
          <w:sz w:val="23"/>
        </w:rPr>
        <w:t>4.2 Out-of-Scope Capabilities (Privacy Safeguards)</w:t>
      </w:r>
    </w:p>
    <w:p>
      <w:pPr>
        <w:spacing w:after="120" w:line="276" w:lineRule="auto"/>
      </w:pPr>
      <w:r>
        <w:rPr>
          <w:rFonts w:ascii="Arial" w:hAnsi="Arial"/>
          <w:color w:val="2D3748"/>
          <w:sz w:val="20"/>
        </w:rPr>
        <w:t>To ensure strict compliance with international privacy frameworks, Workpulse explicitly does NOT implement keystroke logging, clipboard inspection, browser history scraping, unauthorized webcam/audio recording, or background file tampering.</w:t>
      </w:r>
    </w:p>
    <w:p>
      <w:pPr>
        <w:keepNext/>
        <w:spacing w:before="280" w:after="120"/>
      </w:pPr>
      <w:r>
        <w:rPr>
          <w:rFonts w:ascii="Arial" w:hAnsi="Arial"/>
          <w:b/>
          <w:color w:val="0F2942"/>
          <w:sz w:val="28"/>
        </w:rPr>
        <w:t>5. Business Constraints &amp; Acceptance Criteria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1872"/>
            <w:shd w:fill="0F294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Requirement ID</w:t>
            </w:r>
          </w:p>
        </w:tc>
        <w:tc>
          <w:tcPr>
            <w:tcW w:type="dxa" w:w="4608"/>
            <w:shd w:fill="0F294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Business Criterion</w:t>
            </w:r>
          </w:p>
        </w:tc>
        <w:tc>
          <w:tcPr>
            <w:tcW w:type="dxa" w:w="3312"/>
            <w:shd w:fill="0F2942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Verification Method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BRD-01</w:t>
            </w:r>
          </w:p>
        </w:tc>
        <w:tc>
          <w:tcPr>
            <w:tcW w:type="dxa" w:w="460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Memory footprint must remain under 85 MB RAM during steady-state tracking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Process telemetry profiling on Windows and macOS runners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BRD-02</w:t>
            </w:r>
          </w:p>
        </w:tc>
        <w:tc>
          <w:tcPr>
            <w:tcW w:type="dxa" w:w="4608"/>
            <w:shd w:fill="F8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Zero data loss during unexpected network disconnects or operating system restarts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Local SQLite transaction rollback and automated offline queue sync tests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BRD-03</w:t>
            </w:r>
          </w:p>
        </w:tc>
        <w:tc>
          <w:tcPr>
            <w:tcW w:type="dxa" w:w="460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Auto-update target version must strictly match the live backend API response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Live API integration tests and semantic version precedence unit tests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BRD-04</w:t>
            </w:r>
          </w:p>
        </w:tc>
        <w:tc>
          <w:tcPr>
            <w:tcW w:type="dxa" w:w="4608"/>
            <w:shd w:fill="F8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Full regression test pass rate required prior to release artifact packaging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GitHub Actions CI execution of 295 automated unit and integration tests</w:t>
            </w:r>
          </w:p>
        </w:tc>
      </w:tr>
    </w:tbl>
    <w:p>
      <w:pPr>
        <w:spacing w:after="160"/>
      </w:pP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