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0D9488"/>
          <w:sz w:val="20"/>
        </w:rPr>
        <w:t>INDOVISION SERVICES</w:t>
      </w:r>
    </w:p>
    <w:p>
      <w:pPr>
        <w:spacing w:after="80"/>
      </w:pPr>
      <w:r>
        <w:rPr>
          <w:rFonts w:ascii="Arial" w:hAnsi="Arial"/>
          <w:b/>
          <w:color w:val="0F2942"/>
          <w:sz w:val="40"/>
        </w:rPr>
        <w:t>High-Level Design (HLD)</w:t>
      </w:r>
    </w:p>
    <w:p>
      <w:pPr>
        <w:spacing w:after="280"/>
      </w:pPr>
      <w:r>
        <w:rPr>
          <w:rFonts w:ascii="Arial" w:hAnsi="Arial"/>
          <w:i/>
          <w:color w:val="64748B"/>
          <w:sz w:val="19"/>
        </w:rPr>
        <w:t>Project: Workpulse | Application Version: 2.0.2 | Platforms: Windows 10/11 x64 &amp; macOS 12+ (Universal)</w:t>
      </w:r>
    </w:p>
    <w:p>
      <w:pPr>
        <w:spacing w:after="280"/>
      </w:pPr>
      <w:r>
        <w:rPr>
          <w:rFonts w:ascii="Arial" w:hAnsi="Arial"/>
          <w:color w:val="0D9488"/>
          <w:sz w:val="20"/>
        </w:rPr>
        <w:t>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0F2942"/>
          <w:sz w:val="28"/>
        </w:rPr>
        <w:t>1. Architectural Overview &amp; Component Layers</w:t>
      </w:r>
    </w:p>
    <w:p>
      <w:pPr>
        <w:spacing w:after="120" w:line="276" w:lineRule="auto"/>
      </w:pPr>
      <w:r>
        <w:rPr>
          <w:rFonts w:ascii="Arial" w:hAnsi="Arial"/>
          <w:color w:val="2D3748"/>
          <w:sz w:val="20"/>
        </w:rPr>
        <w:t>Workpulse follows an asynchronous, decoupled, multi-threaded architecture. OS-specific functionality is strictly contained within platform abstraction providers, allowing UI widgets, business services, and database persistence layers to remain completely platform-agnostic.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304"/>
            <w:shd w:fill="0F294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Layer / Subsystem</w:t>
            </w:r>
          </w:p>
        </w:tc>
        <w:tc>
          <w:tcPr>
            <w:tcW w:type="dxa" w:w="3600"/>
            <w:shd w:fill="0F294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Key Components</w:t>
            </w:r>
          </w:p>
        </w:tc>
        <w:tc>
          <w:tcPr>
            <w:tcW w:type="dxa" w:w="3888"/>
            <w:shd w:fill="0F294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Core Architectural Responsibility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Presentation Layer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LoginWindow, MainWindow, DashboardPage, AttendancePage, TaskTable, UpdateDialog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Renders Qt widgets, visualizes live timesheet/attendance cards, dispatches background signals</w:t>
            </w:r>
          </w:p>
        </w:tc>
      </w:tr>
      <w:tr>
        <w:tc>
          <w:tcPr>
            <w:tcW w:type="dxa" w:w="2304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Service Layer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SyncService, AttendanceService, TaskService, ScreenshotService, UpdateService, HealthService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Orchestrates background business logic, API HTTP communication, session lifecycle, and update staging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Tracker Engine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ActivityTracker, TrackerWorker, ActivitySession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Manages active/idle state machine, executes 1s polling interval on dedicated QThread</w:t>
            </w:r>
          </w:p>
        </w:tc>
      </w:tr>
      <w:tr>
        <w:tc>
          <w:tcPr>
            <w:tcW w:type="dxa" w:w="2304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Platform Layer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PlatformActivityProvider, WindowsActivityProvider, MacOSActivityProvider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Interacts with Win32 APIs (GetForegroundWindow/GetLastInputInfo) and macOS Quartz/NSWorkspace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Data Access Layer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ActivityRepository, SQLAlchemy Models, SQLite Engine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Manages local transactional ACID persistence with Write-Ahead Logging (WAL) and offline buffering</w:t>
            </w:r>
          </w:p>
        </w:tc>
      </w:tr>
      <w:tr>
        <w:tc>
          <w:tcPr>
            <w:tcW w:type="dxa" w:w="2304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Configuration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ApiConfig, Settings, Paths, Logger, Security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Resolves dynamic tenant endpoints, manages local app data directories, formats structured logs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Arial" w:hAnsi="Arial"/>
          <w:b/>
          <w:color w:val="0F2942"/>
          <w:sz w:val="28"/>
        </w:rPr>
        <w:t>2. End-to-End System Integration Flow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1. Bootstrap: </w:t>
      </w:r>
      <w:r>
        <w:rPr>
          <w:rFonts w:ascii="Arial" w:hAnsi="Arial"/>
          <w:color w:val="2D3748"/>
          <w:sz w:val="20"/>
        </w:rPr>
        <w:t>User supplies company code -&gt; AppController validates tenant -&gt; Base URL and endpoints configured dynamically.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2. Authentication: </w:t>
      </w:r>
      <w:r>
        <w:rPr>
          <w:rFonts w:ascii="Arial" w:hAnsi="Arial"/>
          <w:color w:val="2D3748"/>
          <w:sz w:val="20"/>
        </w:rPr>
        <w:t>User authenticates -&gt; Device hardware UUID enrolled -&gt; Scoped device_token returned and stored in secure session.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3. Tracking: </w:t>
      </w:r>
      <w:r>
        <w:rPr>
          <w:rFonts w:ascii="Arial" w:hAnsi="Arial"/>
          <w:color w:val="2D3748"/>
          <w:sz w:val="20"/>
        </w:rPr>
        <w:t>TrackerWorker polls active window &amp; idle input -&gt; Commits closed sessions to local SQLite database.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4. Synchronization: </w:t>
      </w:r>
      <w:r>
        <w:rPr>
          <w:rFonts w:ascii="Arial" w:hAnsi="Arial"/>
          <w:color w:val="2D3748"/>
          <w:sz w:val="20"/>
        </w:rPr>
        <w:t>SyncService flushes batches of 100 records and screenshots to cloud backend with retry backoff.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5. Dashboard: </w:t>
      </w:r>
      <w:r>
        <w:rPr>
          <w:rFonts w:ascii="Arial" w:hAnsi="Arial"/>
          <w:color w:val="2D3748"/>
          <w:sz w:val="20"/>
        </w:rPr>
        <w:t>Dashboard displays real-time punch time, monthly attendance grid, leave quotas, and KRA timesheets.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6. Maintenance: </w:t>
      </w:r>
      <w:r>
        <w:rPr>
          <w:rFonts w:ascii="Arial" w:hAnsi="Arial"/>
          <w:color w:val="2D3748"/>
          <w:sz w:val="20"/>
        </w:rPr>
        <w:t>UpdateService queries /punch/check_new_version -&gt; Compares semantically -&gt; Spawns detached silent installer on upgrade.</w:t>
      </w:r>
    </w:p>
    <w:p>
      <w:pPr>
        <w:keepNext/>
        <w:spacing w:before="280" w:after="120"/>
      </w:pPr>
      <w:r>
        <w:rPr>
          <w:rFonts w:ascii="Arial" w:hAnsi="Arial"/>
          <w:b/>
          <w:color w:val="0F2942"/>
          <w:sz w:val="28"/>
        </w:rPr>
        <w:t>3. Security Architecture &amp; Threat Mitigation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Transport Security: </w:t>
      </w:r>
      <w:r>
        <w:rPr>
          <w:rFonts w:ascii="Arial" w:hAnsi="Arial"/>
          <w:color w:val="2D3748"/>
          <w:sz w:val="20"/>
        </w:rPr>
        <w:t>All external HTTP traffic strictly uses TLS 1.2+ encryption with validated certificates.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Credential Protection: </w:t>
      </w:r>
      <w:r>
        <w:rPr>
          <w:rFonts w:ascii="Arial" w:hAnsi="Arial"/>
          <w:color w:val="2D3748"/>
          <w:sz w:val="20"/>
        </w:rPr>
        <w:t>Authentication credentials, tokens, and authorization headers are scrubbed from log files.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Storage Isolation: </w:t>
      </w:r>
      <w:r>
        <w:rPr>
          <w:rFonts w:ascii="Arial" w:hAnsi="Arial"/>
          <w:color w:val="2D3748"/>
          <w:sz w:val="20"/>
        </w:rPr>
        <w:t>Local SQLite database and session files are restricted to the local user AppData directory.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Privacy Safeguards: </w:t>
      </w:r>
      <w:r>
        <w:rPr>
          <w:rFonts w:ascii="Arial" w:hAnsi="Arial"/>
          <w:color w:val="2D3748"/>
          <w:sz w:val="20"/>
        </w:rPr>
        <w:t>Non-invasive tracking policy prohibits keystroke logging, clipboard monitoring, and covert recording.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