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/>
      </w:pPr>
      <w:r>
        <w:rPr>
          <w:rFonts w:ascii="Arial" w:hAnsi="Arial"/>
          <w:b/>
          <w:color w:val="0D9488"/>
          <w:sz w:val="20"/>
        </w:rPr>
        <w:t>INDOVISION SERVICES</w:t>
      </w:r>
    </w:p>
    <w:p>
      <w:pPr>
        <w:spacing w:after="80"/>
      </w:pPr>
      <w:r>
        <w:rPr>
          <w:rFonts w:ascii="Arial" w:hAnsi="Arial"/>
          <w:b/>
          <w:color w:val="0F2942"/>
          <w:sz w:val="40"/>
        </w:rPr>
        <w:t>Low-Level Design (LLD)</w:t>
      </w:r>
    </w:p>
    <w:p>
      <w:pPr>
        <w:spacing w:after="280"/>
      </w:pPr>
      <w:r>
        <w:rPr>
          <w:rFonts w:ascii="Arial" w:hAnsi="Arial"/>
          <w:i/>
          <w:color w:val="64748B"/>
          <w:sz w:val="19"/>
        </w:rPr>
        <w:t>Project: Workpulse | Application Version: 2.0.2 | Platforms: Windows 10/11 x64 &amp; macOS 12+ (Universal)</w:t>
      </w:r>
    </w:p>
    <w:p>
      <w:pPr>
        <w:spacing w:after="280"/>
      </w:pPr>
      <w:r>
        <w:rPr>
          <w:rFonts w:ascii="Arial" w:hAnsi="Arial"/>
          <w:color w:val="0D9488"/>
          <w:sz w:val="20"/>
        </w:rPr>
        <w:t>――――――――――――――――――――――――――――――――――――――――――――――――――――――――――</w:t>
      </w:r>
    </w:p>
    <w:p>
      <w:pPr>
        <w:keepNext/>
        <w:spacing w:before="280" w:after="120"/>
      </w:pPr>
      <w:r>
        <w:rPr>
          <w:rFonts w:ascii="Arial" w:hAnsi="Arial"/>
          <w:b/>
          <w:color w:val="0F2942"/>
          <w:sz w:val="28"/>
        </w:rPr>
        <w:t>1. Source Code Mapping &amp; Class Hierarchy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312"/>
        <w:gridCol w:w="3312"/>
        <w:gridCol w:w="3312"/>
      </w:tblGrid>
      <w:tr>
        <w:tc>
          <w:tcPr>
            <w:tcW w:type="dxa" w:w="2592"/>
            <w:shd w:fill="0F2942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jc w:val="left"/>
            </w:pPr>
            <w:r>
              <w:rPr>
                <w:rFonts w:ascii="Arial" w:hAnsi="Arial"/>
                <w:b/>
                <w:color w:val="FFFFFF"/>
                <w:sz w:val="19"/>
              </w:rPr>
              <w:t>Module Path</w:t>
            </w:r>
          </w:p>
        </w:tc>
        <w:tc>
          <w:tcPr>
            <w:tcW w:type="dxa" w:w="3312"/>
            <w:shd w:fill="0F2942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jc w:val="left"/>
            </w:pPr>
            <w:r>
              <w:rPr>
                <w:rFonts w:ascii="Arial" w:hAnsi="Arial"/>
                <w:b/>
                <w:color w:val="FFFFFF"/>
                <w:sz w:val="19"/>
              </w:rPr>
              <w:t>Primary Classes / Functions</w:t>
            </w:r>
          </w:p>
        </w:tc>
        <w:tc>
          <w:tcPr>
            <w:tcW w:type="dxa" w:w="3888"/>
            <w:shd w:fill="0F2942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jc w:val="left"/>
            </w:pPr>
            <w:r>
              <w:rPr>
                <w:rFonts w:ascii="Arial" w:hAnsi="Arial"/>
                <w:b/>
                <w:color w:val="FFFFFF"/>
                <w:sz w:val="19"/>
              </w:rPr>
              <w:t>Detailed Implementation Responsibilities</w:t>
            </w:r>
          </w:p>
        </w:tc>
      </w:tr>
      <w:tr>
        <w:tc>
          <w:tcPr>
            <w:tcW w:type="dxa" w:w="2592"/>
            <w:shd w:fill="FFFFFF"/>
            <w:tcMar>
              <w:top w:w="80" w:type="dxa"/>
              <w:bottom w:w="80" w:type="dxa"/>
              <w:left w:w="150" w:type="dxa"/>
              <w:right w:w="150" w:type="dxa"/>
            </w:tcMar>
          </w:tcPr>
          <w:p>
            <w:pPr>
              <w:jc w:val="left"/>
            </w:pPr>
            <w:r>
              <w:rPr>
                <w:rFonts w:ascii="Arial" w:hAnsi="Arial"/>
                <w:color w:val="2D3748"/>
                <w:sz w:val="18"/>
              </w:rPr>
              <w:t>config/api_config.py</w:t>
            </w:r>
          </w:p>
        </w:tc>
        <w:tc>
          <w:tcPr>
            <w:tcW w:type="dxa" w:w="3312"/>
            <w:shd w:fill="FFFFFF"/>
            <w:tcMar>
              <w:top w:w="80" w:type="dxa"/>
              <w:bottom w:w="80" w:type="dxa"/>
              <w:left w:w="150" w:type="dxa"/>
              <w:right w:w="150" w:type="dxa"/>
            </w:tcMar>
          </w:tcPr>
          <w:p>
            <w:pPr>
              <w:jc w:val="left"/>
            </w:pPr>
            <w:r>
              <w:rPr>
                <w:rFonts w:ascii="Arial" w:hAnsi="Arial"/>
                <w:color w:val="2D3748"/>
                <w:sz w:val="18"/>
              </w:rPr>
              <w:t>ApiConfig (Singleton)</w:t>
            </w:r>
          </w:p>
        </w:tc>
        <w:tc>
          <w:tcPr>
            <w:tcW w:type="dxa" w:w="3888"/>
            <w:shd w:fill="FFFFFF"/>
            <w:tcMar>
              <w:top w:w="80" w:type="dxa"/>
              <w:bottom w:w="80" w:type="dxa"/>
              <w:left w:w="150" w:type="dxa"/>
              <w:right w:w="150" w:type="dxa"/>
            </w:tcMar>
          </w:tcPr>
          <w:p>
            <w:pPr>
              <w:jc w:val="left"/>
            </w:pPr>
            <w:r>
              <w:rPr>
                <w:rFonts w:ascii="Arial" w:hAnsi="Arial"/>
                <w:color w:val="2D3748"/>
                <w:sz w:val="18"/>
              </w:rPr>
              <w:t>Dynamic company verification, tenant base_url resolution, endpoint URL generation</w:t>
            </w:r>
          </w:p>
        </w:tc>
      </w:tr>
      <w:tr>
        <w:tc>
          <w:tcPr>
            <w:tcW w:type="dxa" w:w="2592"/>
            <w:shd w:fill="F8FAFC"/>
            <w:tcMar>
              <w:top w:w="80" w:type="dxa"/>
              <w:bottom w:w="80" w:type="dxa"/>
              <w:left w:w="150" w:type="dxa"/>
              <w:right w:w="150" w:type="dxa"/>
            </w:tcMar>
          </w:tcPr>
          <w:p>
            <w:pPr>
              <w:jc w:val="left"/>
            </w:pPr>
            <w:r>
              <w:rPr>
                <w:rFonts w:ascii="Arial" w:hAnsi="Arial"/>
                <w:color w:val="2D3748"/>
                <w:sz w:val="18"/>
              </w:rPr>
              <w:t>tracker/activity_tracker.py</w:t>
            </w:r>
          </w:p>
        </w:tc>
        <w:tc>
          <w:tcPr>
            <w:tcW w:type="dxa" w:w="3312"/>
            <w:shd w:fill="F8FAFC"/>
            <w:tcMar>
              <w:top w:w="80" w:type="dxa"/>
              <w:bottom w:w="80" w:type="dxa"/>
              <w:left w:w="150" w:type="dxa"/>
              <w:right w:w="150" w:type="dxa"/>
            </w:tcMar>
          </w:tcPr>
          <w:p>
            <w:pPr>
              <w:jc w:val="left"/>
            </w:pPr>
            <w:r>
              <w:rPr>
                <w:rFonts w:ascii="Arial" w:hAnsi="Arial"/>
                <w:color w:val="2D3748"/>
                <w:sz w:val="18"/>
              </w:rPr>
              <w:t>ActivityTracker</w:t>
            </w:r>
          </w:p>
        </w:tc>
        <w:tc>
          <w:tcPr>
            <w:tcW w:type="dxa" w:w="3888"/>
            <w:shd w:fill="F8FAFC"/>
            <w:tcMar>
              <w:top w:w="80" w:type="dxa"/>
              <w:bottom w:w="80" w:type="dxa"/>
              <w:left w:w="150" w:type="dxa"/>
              <w:right w:w="150" w:type="dxa"/>
            </w:tcMar>
          </w:tcPr>
          <w:p>
            <w:pPr>
              <w:jc w:val="left"/>
            </w:pPr>
            <w:r>
              <w:rPr>
                <w:rFonts w:ascii="Arial" w:hAnsi="Arial"/>
                <w:color w:val="2D3748"/>
                <w:sz w:val="18"/>
              </w:rPr>
              <w:t>Active application / window state machine, idle duration accumulation, session demarcation</w:t>
            </w:r>
          </w:p>
        </w:tc>
      </w:tr>
      <w:tr>
        <w:tc>
          <w:tcPr>
            <w:tcW w:type="dxa" w:w="2592"/>
            <w:shd w:fill="FFFFFF"/>
            <w:tcMar>
              <w:top w:w="80" w:type="dxa"/>
              <w:bottom w:w="80" w:type="dxa"/>
              <w:left w:w="150" w:type="dxa"/>
              <w:right w:w="150" w:type="dxa"/>
            </w:tcMar>
          </w:tcPr>
          <w:p>
            <w:pPr>
              <w:jc w:val="left"/>
            </w:pPr>
            <w:r>
              <w:rPr>
                <w:rFonts w:ascii="Arial" w:hAnsi="Arial"/>
                <w:color w:val="2D3748"/>
                <w:sz w:val="18"/>
              </w:rPr>
              <w:t>tracker/tracker_worker.py</w:t>
            </w:r>
          </w:p>
        </w:tc>
        <w:tc>
          <w:tcPr>
            <w:tcW w:type="dxa" w:w="3312"/>
            <w:shd w:fill="FFFFFF"/>
            <w:tcMar>
              <w:top w:w="80" w:type="dxa"/>
              <w:bottom w:w="80" w:type="dxa"/>
              <w:left w:w="150" w:type="dxa"/>
              <w:right w:w="150" w:type="dxa"/>
            </w:tcMar>
          </w:tcPr>
          <w:p>
            <w:pPr>
              <w:jc w:val="left"/>
            </w:pPr>
            <w:r>
              <w:rPr>
                <w:rFonts w:ascii="Arial" w:hAnsi="Arial"/>
                <w:color w:val="2D3748"/>
                <w:sz w:val="18"/>
              </w:rPr>
              <w:t>TrackerWorker (QThread)</w:t>
            </w:r>
          </w:p>
        </w:tc>
        <w:tc>
          <w:tcPr>
            <w:tcW w:type="dxa" w:w="3888"/>
            <w:shd w:fill="FFFFFF"/>
            <w:tcMar>
              <w:top w:w="80" w:type="dxa"/>
              <w:bottom w:w="80" w:type="dxa"/>
              <w:left w:w="150" w:type="dxa"/>
              <w:right w:w="150" w:type="dxa"/>
            </w:tcMar>
          </w:tcPr>
          <w:p>
            <w:pPr>
              <w:jc w:val="left"/>
            </w:pPr>
            <w:r>
              <w:rPr>
                <w:rFonts w:ascii="Arial" w:hAnsi="Arial"/>
                <w:color w:val="2D3748"/>
                <w:sz w:val="18"/>
              </w:rPr>
              <w:t>Asynchronous 1000ms polling timer emitting TrackerState signals to GUI thread</w:t>
            </w:r>
          </w:p>
        </w:tc>
      </w:tr>
      <w:tr>
        <w:tc>
          <w:tcPr>
            <w:tcW w:type="dxa" w:w="2592"/>
            <w:shd w:fill="F8FAFC"/>
            <w:tcMar>
              <w:top w:w="80" w:type="dxa"/>
              <w:bottom w:w="80" w:type="dxa"/>
              <w:left w:w="150" w:type="dxa"/>
              <w:right w:w="150" w:type="dxa"/>
            </w:tcMar>
          </w:tcPr>
          <w:p>
            <w:pPr>
              <w:jc w:val="left"/>
            </w:pPr>
            <w:r>
              <w:rPr>
                <w:rFonts w:ascii="Arial" w:hAnsi="Arial"/>
                <w:color w:val="2D3748"/>
                <w:sz w:val="18"/>
              </w:rPr>
              <w:t>platform_support/windows/</w:t>
            </w:r>
          </w:p>
        </w:tc>
        <w:tc>
          <w:tcPr>
            <w:tcW w:type="dxa" w:w="3312"/>
            <w:shd w:fill="F8FAFC"/>
            <w:tcMar>
              <w:top w:w="80" w:type="dxa"/>
              <w:bottom w:w="80" w:type="dxa"/>
              <w:left w:w="150" w:type="dxa"/>
              <w:right w:w="150" w:type="dxa"/>
            </w:tcMar>
          </w:tcPr>
          <w:p>
            <w:pPr>
              <w:jc w:val="left"/>
            </w:pPr>
            <w:r>
              <w:rPr>
                <w:rFonts w:ascii="Arial" w:hAnsi="Arial"/>
                <w:color w:val="2D3748"/>
                <w:sz w:val="18"/>
              </w:rPr>
              <w:t>WindowsActivityProvider</w:t>
            </w:r>
          </w:p>
        </w:tc>
        <w:tc>
          <w:tcPr>
            <w:tcW w:type="dxa" w:w="3888"/>
            <w:shd w:fill="F8FAFC"/>
            <w:tcMar>
              <w:top w:w="80" w:type="dxa"/>
              <w:bottom w:w="80" w:type="dxa"/>
              <w:left w:w="150" w:type="dxa"/>
              <w:right w:w="150" w:type="dxa"/>
            </w:tcMar>
          </w:tcPr>
          <w:p>
            <w:pPr>
              <w:jc w:val="left"/>
            </w:pPr>
            <w:r>
              <w:rPr>
                <w:rFonts w:ascii="Arial" w:hAnsi="Arial"/>
                <w:color w:val="2D3748"/>
                <w:sz w:val="18"/>
              </w:rPr>
              <w:t>Win32 GetForegroundWindow, GetWindowThreadProcessId, GetLastInputInfo implementation</w:t>
            </w:r>
          </w:p>
        </w:tc>
      </w:tr>
      <w:tr>
        <w:tc>
          <w:tcPr>
            <w:tcW w:type="dxa" w:w="2592"/>
            <w:shd w:fill="FFFFFF"/>
            <w:tcMar>
              <w:top w:w="80" w:type="dxa"/>
              <w:bottom w:w="80" w:type="dxa"/>
              <w:left w:w="150" w:type="dxa"/>
              <w:right w:w="150" w:type="dxa"/>
            </w:tcMar>
          </w:tcPr>
          <w:p>
            <w:pPr>
              <w:jc w:val="left"/>
            </w:pPr>
            <w:r>
              <w:rPr>
                <w:rFonts w:ascii="Arial" w:hAnsi="Arial"/>
                <w:color w:val="2D3748"/>
                <w:sz w:val="18"/>
              </w:rPr>
              <w:t>platform_support/macos/</w:t>
            </w:r>
          </w:p>
        </w:tc>
        <w:tc>
          <w:tcPr>
            <w:tcW w:type="dxa" w:w="3312"/>
            <w:shd w:fill="FFFFFF"/>
            <w:tcMar>
              <w:top w:w="80" w:type="dxa"/>
              <w:bottom w:w="80" w:type="dxa"/>
              <w:left w:w="150" w:type="dxa"/>
              <w:right w:w="150" w:type="dxa"/>
            </w:tcMar>
          </w:tcPr>
          <w:p>
            <w:pPr>
              <w:jc w:val="left"/>
            </w:pPr>
            <w:r>
              <w:rPr>
                <w:rFonts w:ascii="Arial" w:hAnsi="Arial"/>
                <w:color w:val="2D3748"/>
                <w:sz w:val="18"/>
              </w:rPr>
              <w:t>MacOSActivityProvider</w:t>
            </w:r>
          </w:p>
        </w:tc>
        <w:tc>
          <w:tcPr>
            <w:tcW w:type="dxa" w:w="3888"/>
            <w:shd w:fill="FFFFFF"/>
            <w:tcMar>
              <w:top w:w="80" w:type="dxa"/>
              <w:bottom w:w="80" w:type="dxa"/>
              <w:left w:w="150" w:type="dxa"/>
              <w:right w:w="150" w:type="dxa"/>
            </w:tcMar>
          </w:tcPr>
          <w:p>
            <w:pPr>
              <w:jc w:val="left"/>
            </w:pPr>
            <w:r>
              <w:rPr>
                <w:rFonts w:ascii="Arial" w:hAnsi="Arial"/>
                <w:color w:val="2D3748"/>
                <w:sz w:val="18"/>
              </w:rPr>
              <w:t>PyObjC NSWorkspace frontmostApplication, CGEventSource idle time extraction</w:t>
            </w:r>
          </w:p>
        </w:tc>
      </w:tr>
      <w:tr>
        <w:tc>
          <w:tcPr>
            <w:tcW w:type="dxa" w:w="2592"/>
            <w:shd w:fill="F8FAFC"/>
            <w:tcMar>
              <w:top w:w="80" w:type="dxa"/>
              <w:bottom w:w="80" w:type="dxa"/>
              <w:left w:w="150" w:type="dxa"/>
              <w:right w:w="150" w:type="dxa"/>
            </w:tcMar>
          </w:tcPr>
          <w:p>
            <w:pPr>
              <w:jc w:val="left"/>
            </w:pPr>
            <w:r>
              <w:rPr>
                <w:rFonts w:ascii="Arial" w:hAnsi="Arial"/>
                <w:color w:val="2D3748"/>
                <w:sz w:val="18"/>
              </w:rPr>
              <w:t>services/sync_service.py</w:t>
            </w:r>
          </w:p>
        </w:tc>
        <w:tc>
          <w:tcPr>
            <w:tcW w:type="dxa" w:w="3312"/>
            <w:shd w:fill="F8FAFC"/>
            <w:tcMar>
              <w:top w:w="80" w:type="dxa"/>
              <w:bottom w:w="80" w:type="dxa"/>
              <w:left w:w="150" w:type="dxa"/>
              <w:right w:w="150" w:type="dxa"/>
            </w:tcMar>
          </w:tcPr>
          <w:p>
            <w:pPr>
              <w:jc w:val="left"/>
            </w:pPr>
            <w:r>
              <w:rPr>
                <w:rFonts w:ascii="Arial" w:hAnsi="Arial"/>
                <w:color w:val="2D3748"/>
                <w:sz w:val="18"/>
              </w:rPr>
              <w:t>SyncService (Singleton)</w:t>
            </w:r>
          </w:p>
        </w:tc>
        <w:tc>
          <w:tcPr>
            <w:tcW w:type="dxa" w:w="3888"/>
            <w:shd w:fill="F8FAFC"/>
            <w:tcMar>
              <w:top w:w="80" w:type="dxa"/>
              <w:bottom w:w="80" w:type="dxa"/>
              <w:left w:w="150" w:type="dxa"/>
              <w:right w:w="150" w:type="dxa"/>
            </w:tcMar>
          </w:tcPr>
          <w:p>
            <w:pPr>
              <w:jc w:val="left"/>
            </w:pPr>
            <w:r>
              <w:rPr>
                <w:rFonts w:ascii="Arial" w:hAnsi="Arial"/>
                <w:color w:val="2D3748"/>
                <w:sz w:val="18"/>
              </w:rPr>
              <w:t>Device enrollment, get_settings sync, batch activity serialization, retry management</w:t>
            </w:r>
          </w:p>
        </w:tc>
      </w:tr>
      <w:tr>
        <w:tc>
          <w:tcPr>
            <w:tcW w:type="dxa" w:w="2592"/>
            <w:shd w:fill="FFFFFF"/>
            <w:tcMar>
              <w:top w:w="80" w:type="dxa"/>
              <w:bottom w:w="80" w:type="dxa"/>
              <w:left w:w="150" w:type="dxa"/>
              <w:right w:w="150" w:type="dxa"/>
            </w:tcMar>
          </w:tcPr>
          <w:p>
            <w:pPr>
              <w:jc w:val="left"/>
            </w:pPr>
            <w:r>
              <w:rPr>
                <w:rFonts w:ascii="Arial" w:hAnsi="Arial"/>
                <w:color w:val="2D3748"/>
                <w:sz w:val="18"/>
              </w:rPr>
              <w:t>services/screenshot_service.py</w:t>
            </w:r>
          </w:p>
        </w:tc>
        <w:tc>
          <w:tcPr>
            <w:tcW w:type="dxa" w:w="3312"/>
            <w:shd w:fill="FFFFFF"/>
            <w:tcMar>
              <w:top w:w="80" w:type="dxa"/>
              <w:bottom w:w="80" w:type="dxa"/>
              <w:left w:w="150" w:type="dxa"/>
              <w:right w:w="150" w:type="dxa"/>
            </w:tcMar>
          </w:tcPr>
          <w:p>
            <w:pPr>
              <w:jc w:val="left"/>
            </w:pPr>
            <w:r>
              <w:rPr>
                <w:rFonts w:ascii="Arial" w:hAnsi="Arial"/>
                <w:color w:val="2D3748"/>
                <w:sz w:val="18"/>
              </w:rPr>
              <w:t>ScreenshotService</w:t>
            </w:r>
          </w:p>
        </w:tc>
        <w:tc>
          <w:tcPr>
            <w:tcW w:type="dxa" w:w="3888"/>
            <w:shd w:fill="FFFFFF"/>
            <w:tcMar>
              <w:top w:w="80" w:type="dxa"/>
              <w:bottom w:w="80" w:type="dxa"/>
              <w:left w:w="150" w:type="dxa"/>
              <w:right w:w="150" w:type="dxa"/>
            </w:tcMar>
          </w:tcPr>
          <w:p>
            <w:pPr>
              <w:jc w:val="left"/>
            </w:pPr>
            <w:r>
              <w:rPr>
                <w:rFonts w:ascii="Arial" w:hAnsi="Arial"/>
                <w:color w:val="2D3748"/>
                <w:sz w:val="18"/>
              </w:rPr>
              <w:t>Virtual desktop capture, JPEG compression (Q=75), base64 upload, offline SQLite queue</w:t>
            </w:r>
          </w:p>
        </w:tc>
      </w:tr>
      <w:tr>
        <w:tc>
          <w:tcPr>
            <w:tcW w:type="dxa" w:w="2592"/>
            <w:shd w:fill="F8FAFC"/>
            <w:tcMar>
              <w:top w:w="80" w:type="dxa"/>
              <w:bottom w:w="80" w:type="dxa"/>
              <w:left w:w="150" w:type="dxa"/>
              <w:right w:w="150" w:type="dxa"/>
            </w:tcMar>
          </w:tcPr>
          <w:p>
            <w:pPr>
              <w:jc w:val="left"/>
            </w:pPr>
            <w:r>
              <w:rPr>
                <w:rFonts w:ascii="Arial" w:hAnsi="Arial"/>
                <w:color w:val="2D3748"/>
                <w:sz w:val="18"/>
              </w:rPr>
              <w:t>services/attendance_service.py</w:t>
            </w:r>
          </w:p>
        </w:tc>
        <w:tc>
          <w:tcPr>
            <w:tcW w:type="dxa" w:w="3312"/>
            <w:shd w:fill="F8FAFC"/>
            <w:tcMar>
              <w:top w:w="80" w:type="dxa"/>
              <w:bottom w:w="80" w:type="dxa"/>
              <w:left w:w="150" w:type="dxa"/>
              <w:right w:w="150" w:type="dxa"/>
            </w:tcMar>
          </w:tcPr>
          <w:p>
            <w:pPr>
              <w:jc w:val="left"/>
            </w:pPr>
            <w:r>
              <w:rPr>
                <w:rFonts w:ascii="Arial" w:hAnsi="Arial"/>
                <w:color w:val="2D3748"/>
                <w:sz w:val="18"/>
              </w:rPr>
              <w:t>AttendanceService</w:t>
            </w:r>
          </w:p>
        </w:tc>
        <w:tc>
          <w:tcPr>
            <w:tcW w:type="dxa" w:w="3888"/>
            <w:shd w:fill="F8FAFC"/>
            <w:tcMar>
              <w:top w:w="80" w:type="dxa"/>
              <w:bottom w:w="80" w:type="dxa"/>
              <w:left w:w="150" w:type="dxa"/>
              <w:right w:w="150" w:type="dxa"/>
            </w:tcMar>
          </w:tcPr>
          <w:p>
            <w:pPr>
              <w:jc w:val="left"/>
            </w:pPr>
            <w:r>
              <w:rPr>
                <w:rFonts w:ascii="Arial" w:hAnsi="Arial"/>
                <w:color w:val="2D3748"/>
                <w:sz w:val="18"/>
              </w:rPr>
              <w:t>Punch time parsing, monthly calendar grid computation, present/absent resolution</w:t>
            </w:r>
          </w:p>
        </w:tc>
      </w:tr>
      <w:tr>
        <w:tc>
          <w:tcPr>
            <w:tcW w:type="dxa" w:w="2592"/>
            <w:shd w:fill="FFFFFF"/>
            <w:tcMar>
              <w:top w:w="80" w:type="dxa"/>
              <w:bottom w:w="80" w:type="dxa"/>
              <w:left w:w="150" w:type="dxa"/>
              <w:right w:w="150" w:type="dxa"/>
            </w:tcMar>
          </w:tcPr>
          <w:p>
            <w:pPr>
              <w:jc w:val="left"/>
            </w:pPr>
            <w:r>
              <w:rPr>
                <w:rFonts w:ascii="Arial" w:hAnsi="Arial"/>
                <w:color w:val="2D3748"/>
                <w:sz w:val="18"/>
              </w:rPr>
              <w:t>services/task_service.py</w:t>
            </w:r>
          </w:p>
        </w:tc>
        <w:tc>
          <w:tcPr>
            <w:tcW w:type="dxa" w:w="3312"/>
            <w:shd w:fill="FFFFFF"/>
            <w:tcMar>
              <w:top w:w="80" w:type="dxa"/>
              <w:bottom w:w="80" w:type="dxa"/>
              <w:left w:w="150" w:type="dxa"/>
              <w:right w:w="150" w:type="dxa"/>
            </w:tcMar>
          </w:tcPr>
          <w:p>
            <w:pPr>
              <w:jc w:val="left"/>
            </w:pPr>
            <w:r>
              <w:rPr>
                <w:rFonts w:ascii="Arial" w:hAnsi="Arial"/>
                <w:color w:val="2D3748"/>
                <w:sz w:val="18"/>
              </w:rPr>
              <w:t>TaskService</w:t>
            </w:r>
          </w:p>
        </w:tc>
        <w:tc>
          <w:tcPr>
            <w:tcW w:type="dxa" w:w="3888"/>
            <w:shd w:fill="FFFFFF"/>
            <w:tcMar>
              <w:top w:w="80" w:type="dxa"/>
              <w:bottom w:w="80" w:type="dxa"/>
              <w:left w:w="150" w:type="dxa"/>
              <w:right w:w="150" w:type="dxa"/>
            </w:tcMar>
          </w:tcPr>
          <w:p>
            <w:pPr>
              <w:jc w:val="left"/>
            </w:pPr>
            <w:r>
              <w:rPr>
                <w:rFonts w:ascii="Arial" w:hAnsi="Arial"/>
                <w:color w:val="2D3748"/>
                <w:sz w:val="18"/>
              </w:rPr>
              <w:t>KRA task retrieval, draft saving, timesheet submission via /TaskPMS/fill_time_sheet</w:t>
            </w:r>
          </w:p>
        </w:tc>
      </w:tr>
      <w:tr>
        <w:tc>
          <w:tcPr>
            <w:tcW w:type="dxa" w:w="2592"/>
            <w:shd w:fill="F8FAFC"/>
            <w:tcMar>
              <w:top w:w="80" w:type="dxa"/>
              <w:bottom w:w="80" w:type="dxa"/>
              <w:left w:w="150" w:type="dxa"/>
              <w:right w:w="150" w:type="dxa"/>
            </w:tcMar>
          </w:tcPr>
          <w:p>
            <w:pPr>
              <w:jc w:val="left"/>
            </w:pPr>
            <w:r>
              <w:rPr>
                <w:rFonts w:ascii="Arial" w:hAnsi="Arial"/>
                <w:color w:val="2D3748"/>
                <w:sz w:val="18"/>
              </w:rPr>
              <w:t>services/hrms_portal_service.py</w:t>
            </w:r>
          </w:p>
        </w:tc>
        <w:tc>
          <w:tcPr>
            <w:tcW w:type="dxa" w:w="3312"/>
            <w:shd w:fill="F8FAFC"/>
            <w:tcMar>
              <w:top w:w="80" w:type="dxa"/>
              <w:bottom w:w="80" w:type="dxa"/>
              <w:left w:w="150" w:type="dxa"/>
              <w:right w:w="150" w:type="dxa"/>
            </w:tcMar>
          </w:tcPr>
          <w:p>
            <w:pPr>
              <w:jc w:val="left"/>
            </w:pPr>
            <w:r>
              <w:rPr>
                <w:rFonts w:ascii="Arial" w:hAnsi="Arial"/>
                <w:color w:val="2D3748"/>
                <w:sz w:val="18"/>
              </w:rPr>
              <w:t>HrmsPortalService</w:t>
            </w:r>
          </w:p>
        </w:tc>
        <w:tc>
          <w:tcPr>
            <w:tcW w:type="dxa" w:w="3888"/>
            <w:shd w:fill="F8FAFC"/>
            <w:tcMar>
              <w:top w:w="80" w:type="dxa"/>
              <w:bottom w:w="80" w:type="dxa"/>
              <w:left w:w="150" w:type="dxa"/>
              <w:right w:w="150" w:type="dxa"/>
            </w:tcMar>
          </w:tcPr>
          <w:p>
            <w:pPr>
              <w:jc w:val="left"/>
            </w:pPr>
            <w:r>
              <w:rPr>
                <w:rFonts w:ascii="Arial" w:hAnsi="Arial"/>
                <w:color w:val="2D3748"/>
                <w:sz w:val="18"/>
              </w:rPr>
              <w:t>Dynamic portal URL derivation, auto-login HTML bridge generation with daemon cleanup</w:t>
            </w:r>
          </w:p>
        </w:tc>
      </w:tr>
      <w:tr>
        <w:tc>
          <w:tcPr>
            <w:tcW w:type="dxa" w:w="2592"/>
            <w:shd w:fill="FFFFFF"/>
            <w:tcMar>
              <w:top w:w="80" w:type="dxa"/>
              <w:bottom w:w="80" w:type="dxa"/>
              <w:left w:w="150" w:type="dxa"/>
              <w:right w:w="150" w:type="dxa"/>
            </w:tcMar>
          </w:tcPr>
          <w:p>
            <w:pPr>
              <w:jc w:val="left"/>
            </w:pPr>
            <w:r>
              <w:rPr>
                <w:rFonts w:ascii="Arial" w:hAnsi="Arial"/>
                <w:color w:val="2D3748"/>
                <w:sz w:val="18"/>
              </w:rPr>
              <w:t>services/update_service.py</w:t>
            </w:r>
          </w:p>
        </w:tc>
        <w:tc>
          <w:tcPr>
            <w:tcW w:type="dxa" w:w="3312"/>
            <w:shd w:fill="FFFFFF"/>
            <w:tcMar>
              <w:top w:w="80" w:type="dxa"/>
              <w:bottom w:w="80" w:type="dxa"/>
              <w:left w:w="150" w:type="dxa"/>
              <w:right w:w="150" w:type="dxa"/>
            </w:tcMar>
          </w:tcPr>
          <w:p>
            <w:pPr>
              <w:jc w:val="left"/>
            </w:pPr>
            <w:r>
              <w:rPr>
                <w:rFonts w:ascii="Arial" w:hAnsi="Arial"/>
                <w:color w:val="2D3748"/>
                <w:sz w:val="18"/>
              </w:rPr>
              <w:t>UpdateCheckWorker, UpdatePipelineWorker</w:t>
            </w:r>
          </w:p>
        </w:tc>
        <w:tc>
          <w:tcPr>
            <w:tcW w:type="dxa" w:w="3888"/>
            <w:shd w:fill="FFFFFF"/>
            <w:tcMar>
              <w:top w:w="80" w:type="dxa"/>
              <w:bottom w:w="80" w:type="dxa"/>
              <w:left w:w="150" w:type="dxa"/>
              <w:right w:w="150" w:type="dxa"/>
            </w:tcMar>
          </w:tcPr>
          <w:p>
            <w:pPr>
              <w:jc w:val="left"/>
            </w:pPr>
            <w:r>
              <w:rPr>
                <w:rFonts w:ascii="Arial" w:hAnsi="Arial"/>
                <w:color w:val="2D3748"/>
                <w:sz w:val="18"/>
              </w:rPr>
              <w:t>Semantic version comparison, PE signature validation, detached silent updater launch</w:t>
            </w:r>
          </w:p>
        </w:tc>
      </w:tr>
      <w:tr>
        <w:tc>
          <w:tcPr>
            <w:tcW w:type="dxa" w:w="2592"/>
            <w:shd w:fill="F8FAFC"/>
            <w:tcMar>
              <w:top w:w="80" w:type="dxa"/>
              <w:bottom w:w="80" w:type="dxa"/>
              <w:left w:w="150" w:type="dxa"/>
              <w:right w:w="150" w:type="dxa"/>
            </w:tcMar>
          </w:tcPr>
          <w:p>
            <w:pPr>
              <w:jc w:val="left"/>
            </w:pPr>
            <w:r>
              <w:rPr>
                <w:rFonts w:ascii="Arial" w:hAnsi="Arial"/>
                <w:color w:val="2D3748"/>
                <w:sz w:val="18"/>
              </w:rPr>
              <w:t>services/update_state.py</w:t>
            </w:r>
          </w:p>
        </w:tc>
        <w:tc>
          <w:tcPr>
            <w:tcW w:type="dxa" w:w="3312"/>
            <w:shd w:fill="F8FAFC"/>
            <w:tcMar>
              <w:top w:w="80" w:type="dxa"/>
              <w:bottom w:w="80" w:type="dxa"/>
              <w:left w:w="150" w:type="dxa"/>
              <w:right w:w="150" w:type="dxa"/>
            </w:tcMar>
          </w:tcPr>
          <w:p>
            <w:pPr>
              <w:jc w:val="left"/>
            </w:pPr>
            <w:r>
              <w:rPr>
                <w:rFonts w:ascii="Arial" w:hAnsi="Arial"/>
                <w:color w:val="2D3748"/>
                <w:sz w:val="18"/>
              </w:rPr>
              <w:t>UpdateStateManager (Singleton)</w:t>
            </w:r>
          </w:p>
        </w:tc>
        <w:tc>
          <w:tcPr>
            <w:tcW w:type="dxa" w:w="3888"/>
            <w:shd w:fill="F8FAFC"/>
            <w:tcMar>
              <w:top w:w="80" w:type="dxa"/>
              <w:bottom w:w="80" w:type="dxa"/>
              <w:left w:w="150" w:type="dxa"/>
              <w:right w:w="150" w:type="dxa"/>
            </w:tcMar>
          </w:tcPr>
          <w:p>
            <w:pPr>
              <w:jc w:val="left"/>
            </w:pPr>
            <w:r>
              <w:rPr>
                <w:rFonts w:ascii="Arial" w:hAnsi="Arial"/>
                <w:color w:val="2D3748"/>
                <w:sz w:val="18"/>
              </w:rPr>
              <w:t>Atomic update_state.json management, post-restart validation, 24h loop cooldown guard</w:t>
            </w:r>
          </w:p>
        </w:tc>
      </w:tr>
      <w:tr>
        <w:tc>
          <w:tcPr>
            <w:tcW w:type="dxa" w:w="2592"/>
            <w:shd w:fill="FFFFFF"/>
            <w:tcMar>
              <w:top w:w="80" w:type="dxa"/>
              <w:bottom w:w="80" w:type="dxa"/>
              <w:left w:w="150" w:type="dxa"/>
              <w:right w:w="150" w:type="dxa"/>
            </w:tcMar>
          </w:tcPr>
          <w:p>
            <w:pPr>
              <w:jc w:val="left"/>
            </w:pPr>
            <w:r>
              <w:rPr>
                <w:rFonts w:ascii="Arial" w:hAnsi="Arial"/>
                <w:color w:val="2D3748"/>
                <w:sz w:val="18"/>
              </w:rPr>
              <w:t>utils/system_health.py</w:t>
            </w:r>
          </w:p>
        </w:tc>
        <w:tc>
          <w:tcPr>
            <w:tcW w:type="dxa" w:w="3312"/>
            <w:shd w:fill="FFFFFF"/>
            <w:tcMar>
              <w:top w:w="80" w:type="dxa"/>
              <w:bottom w:w="80" w:type="dxa"/>
              <w:left w:w="150" w:type="dxa"/>
              <w:right w:w="150" w:type="dxa"/>
            </w:tcMar>
          </w:tcPr>
          <w:p>
            <w:pPr>
              <w:jc w:val="left"/>
            </w:pPr>
            <w:r>
              <w:rPr>
                <w:rFonts w:ascii="Arial" w:hAnsi="Arial"/>
                <w:color w:val="2D3748"/>
                <w:sz w:val="18"/>
              </w:rPr>
              <w:t>SystemHealthCollector</w:t>
            </w:r>
          </w:p>
        </w:tc>
        <w:tc>
          <w:tcPr>
            <w:tcW w:type="dxa" w:w="3888"/>
            <w:shd w:fill="FFFFFF"/>
            <w:tcMar>
              <w:top w:w="80" w:type="dxa"/>
              <w:bottom w:w="80" w:type="dxa"/>
              <w:left w:w="150" w:type="dxa"/>
              <w:right w:w="150" w:type="dxa"/>
            </w:tcMar>
          </w:tcPr>
          <w:p>
            <w:pPr>
              <w:jc w:val="left"/>
            </w:pPr>
            <w:r>
              <w:rPr>
                <w:rFonts w:ascii="Arial" w:hAnsi="Arial"/>
                <w:color w:val="2D3748"/>
                <w:sz w:val="18"/>
              </w:rPr>
              <w:t>psutil CPU, RAM, Disk, Battery, Network telemetry collection with integer payload rounding</w:t>
            </w:r>
          </w:p>
        </w:tc>
      </w:tr>
    </w:tbl>
    <w:p>
      <w:pPr>
        <w:spacing w:after="160"/>
      </w:pPr>
    </w:p>
    <w:p>
      <w:pPr>
        <w:keepNext/>
        <w:spacing w:before="280" w:after="120"/>
      </w:pPr>
      <w:r>
        <w:rPr>
          <w:rFonts w:ascii="Arial" w:hAnsi="Arial"/>
          <w:b/>
          <w:color w:val="0F2942"/>
          <w:sz w:val="28"/>
        </w:rPr>
        <w:t>2. Detailed Logic &amp; Algorithm Specifications</w:t>
      </w:r>
    </w:p>
    <w:p>
      <w:pPr>
        <w:keepNext/>
        <w:spacing w:before="200" w:after="80"/>
      </w:pPr>
      <w:r>
        <w:rPr>
          <w:rFonts w:ascii="Arial" w:hAnsi="Arial"/>
          <w:b/>
          <w:color w:val="0D9488"/>
          <w:sz w:val="23"/>
        </w:rPr>
        <w:t>2.1 Semantic Version Comparison (is_newer_version)</w:t>
      </w:r>
    </w:p>
    <w:p>
      <w:pPr>
        <w:spacing w:after="120" w:line="276" w:lineRule="auto"/>
      </w:pPr>
      <w:r>
        <w:rPr>
          <w:rFonts w:ascii="Arial" w:hAnsi="Arial"/>
          <w:color w:val="2D3748"/>
          <w:sz w:val="20"/>
        </w:rPr>
        <w:t>Version strings are parsed into comparable integer tuples via parse_version(v). For example, '2.0.2' -&gt; (2, 0, 2) and '2.1' -&gt; (2, 1, 0). Tuples are normalized to equal length and evaluated numerically (s_norm &gt; c_norm). Missing, malformed, or older versions strictly evaluate to False.</w:t>
      </w:r>
    </w:p>
    <w:p>
      <w:pPr>
        <w:keepNext/>
        <w:spacing w:before="200" w:after="80"/>
      </w:pPr>
      <w:r>
        <w:rPr>
          <w:rFonts w:ascii="Arial" w:hAnsi="Arial"/>
          <w:b/>
          <w:color w:val="0D9488"/>
          <w:sz w:val="23"/>
        </w:rPr>
        <w:t>2.2 Detached Silent Updater Process Execution</w:t>
      </w:r>
    </w:p>
    <w:p>
      <w:pPr>
        <w:spacing w:after="120" w:line="276" w:lineRule="auto"/>
      </w:pPr>
      <w:r>
        <w:rPr>
          <w:rFonts w:ascii="Arial" w:hAnsi="Arial"/>
          <w:color w:val="2D3748"/>
          <w:sz w:val="20"/>
        </w:rPr>
        <w:t>When an update is verified and downloaded, the main application writes a detached runner script (hidden_updater.vbs on Windows / helper bash script on macOS), spawns it as a detached independent process via wscript.exe //B, and cleanly terminates the running application to release all binary file locks.</w:t>
      </w:r>
    </w:p>
    <w:sectPr w:rsidR="00FC693F" w:rsidRPr="0006063C" w:rsidSect="00034616">
      <w:pgSz w:w="12240" w:h="15840"/>
      <w:pgMar w:top="1152" w:right="1152" w:bottom="1152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