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D9488"/>
          <w:sz w:val="20"/>
        </w:rPr>
        <w:t>INDOVISION SERVICES</w:t>
      </w:r>
    </w:p>
    <w:p>
      <w:pPr>
        <w:spacing w:after="80"/>
      </w:pPr>
      <w:r>
        <w:rPr>
          <w:rFonts w:ascii="Arial" w:hAnsi="Arial"/>
          <w:b/>
          <w:color w:val="0F2942"/>
          <w:sz w:val="40"/>
        </w:rPr>
        <w:t>Product Requirements Document (PRD)</w:t>
      </w:r>
    </w:p>
    <w:p>
      <w:pPr>
        <w:spacing w:after="280"/>
      </w:pPr>
      <w:r>
        <w:rPr>
          <w:rFonts w:ascii="Arial" w:hAnsi="Arial"/>
          <w:i/>
          <w:color w:val="64748B"/>
          <w:sz w:val="19"/>
        </w:rPr>
        <w:t>Project: Workpulse | Application Version: 2.0.2 | Platforms: Windows 10/11 x64 &amp; macOS 12+ (Universal)</w:t>
      </w:r>
    </w:p>
    <w:p>
      <w:pPr>
        <w:spacing w:after="280"/>
      </w:pPr>
      <w:r>
        <w:rPr>
          <w:rFonts w:ascii="Arial" w:hAnsi="Arial"/>
          <w:color w:val="0D9488"/>
          <w:sz w:val="20"/>
        </w:rPr>
        <w:t>――――――――――――――――――――――――――――――――――――――――――――――――――――――――――</w:t>
      </w:r>
    </w:p>
    <w:p>
      <w:pPr>
        <w:keepNext/>
        <w:spacing w:before="280" w:after="120"/>
      </w:pPr>
      <w:r>
        <w:rPr>
          <w:rFonts w:ascii="Arial" w:hAnsi="Arial"/>
          <w:b/>
          <w:color w:val="0F2942"/>
          <w:sz w:val="28"/>
        </w:rPr>
        <w:t>1. Product Overview &amp; Vision</w:t>
      </w:r>
    </w:p>
    <w:p>
      <w:pPr>
        <w:spacing w:after="120" w:line="276" w:lineRule="auto"/>
      </w:pPr>
      <w:r>
        <w:rPr>
          <w:rFonts w:ascii="Arial" w:hAnsi="Arial"/>
          <w:color w:val="2D3748"/>
          <w:sz w:val="20"/>
        </w:rPr>
        <w:t>Workpulse is a desktop-native productivity and workforce analytics application engineered for enterprise deployment. It serves as a unified workstation companion that automatically measures active focus time, coordinates attendance punches, manages daily KRA timesheets, and provides diagnostic health telemetry to the centralized cloud portal.</w:t>
      </w:r>
    </w:p>
    <w:p>
      <w:pPr>
        <w:keepNext/>
        <w:spacing w:before="280" w:after="120"/>
      </w:pPr>
      <w:r>
        <w:rPr>
          <w:rFonts w:ascii="Arial" w:hAnsi="Arial"/>
          <w:b/>
          <w:color w:val="0F2942"/>
          <w:sz w:val="28"/>
        </w:rPr>
        <w:t>2. User Personas &amp; Workflows</w:t>
      </w:r>
    </w:p>
    <w:p>
      <w:pPr>
        <w:keepNext/>
        <w:spacing w:before="200" w:after="80"/>
      </w:pPr>
      <w:r>
        <w:rPr>
          <w:rFonts w:ascii="Arial" w:hAnsi="Arial"/>
          <w:b/>
          <w:color w:val="0D9488"/>
          <w:sz w:val="23"/>
        </w:rPr>
        <w:t>2.1 Primary User: Remote / Hybrid Employee</w:t>
      </w:r>
    </w:p>
    <w:p>
      <w:pPr>
        <w:spacing w:after="120" w:line="276" w:lineRule="auto"/>
      </w:pPr>
      <w:r>
        <w:rPr>
          <w:rFonts w:ascii="Arial" w:hAnsi="Arial"/>
          <w:color w:val="2D3748"/>
          <w:sz w:val="20"/>
        </w:rPr>
        <w:t>The employee opens Workpulse at the start of their workday. The application verifies the company code, logs in the user, registers the device, displays their official punch-in time, and tracks active project windows. At the end of the day, the employee reviews their logged active duration, completes KRA task remarks in the Timesheet table, and submits their daily report.</w:t>
      </w:r>
    </w:p>
    <w:p>
      <w:pPr>
        <w:keepNext/>
        <w:spacing w:before="200" w:after="80"/>
      </w:pPr>
      <w:r>
        <w:rPr>
          <w:rFonts w:ascii="Arial" w:hAnsi="Arial"/>
          <w:b/>
          <w:color w:val="0D9488"/>
          <w:sz w:val="23"/>
        </w:rPr>
        <w:t>2.2 Secondary User: HR Administrator &amp; Team Lead</w:t>
      </w:r>
    </w:p>
    <w:p>
      <w:pPr>
        <w:spacing w:after="120" w:line="276" w:lineRule="auto"/>
      </w:pPr>
      <w:r>
        <w:rPr>
          <w:rFonts w:ascii="Arial" w:hAnsi="Arial"/>
          <w:color w:val="2D3748"/>
          <w:sz w:val="20"/>
        </w:rPr>
        <w:t>Team leads inspect synchronized activity timelines and KRA timesheets submitted via the desktop client to evaluate sprint velocity, workload distribution, and attendance compliance.</w:t>
      </w:r>
    </w:p>
    <w:p>
      <w:pPr>
        <w:keepNext/>
        <w:spacing w:before="280" w:after="120"/>
      </w:pPr>
      <w:r>
        <w:rPr>
          <w:rFonts w:ascii="Arial" w:hAnsi="Arial"/>
          <w:b/>
          <w:color w:val="0F2942"/>
          <w:sz w:val="28"/>
        </w:rPr>
        <w:t>3. Functional Requirements Specifications</w:t>
      </w:r>
    </w:p>
    <w:tbl>
      <w:tblPr>
        <w:tblW w:type="auto" w:w="0"/>
        <w:jc w:val="center"/>
        <w:tblLayout w:type="fixed"/>
        <w:tblLook w:firstColumn="1" w:firstRow="1" w:lastColumn="0" w:lastRow="0" w:noHBand="0" w:noVBand="1" w:val="04A0"/>
      </w:tblPr>
      <w:tblGrid>
        <w:gridCol w:w="3312"/>
        <w:gridCol w:w="3312"/>
        <w:gridCol w:w="3312"/>
      </w:tblGrid>
      <w:tr>
        <w:tc>
          <w:tcPr>
            <w:tcW w:type="dxa" w:w="2016"/>
            <w:shd w:fill="0F2942"/>
            <w:tcMar>
              <w:top w:w="120" w:type="dxa"/>
              <w:bottom w:w="120" w:type="dxa"/>
              <w:left w:w="150" w:type="dxa"/>
              <w:right w:w="150" w:type="dxa"/>
            </w:tcMar>
          </w:tcPr>
          <w:p>
            <w:pPr>
              <w:jc w:val="left"/>
            </w:pPr>
            <w:r>
              <w:rPr>
                <w:rFonts w:ascii="Arial" w:hAnsi="Arial"/>
                <w:b/>
                <w:color w:val="FFFFFF"/>
                <w:sz w:val="19"/>
              </w:rPr>
              <w:t>Module</w:t>
            </w:r>
          </w:p>
        </w:tc>
        <w:tc>
          <w:tcPr>
            <w:tcW w:type="dxa" w:w="4608"/>
            <w:shd w:fill="0F2942"/>
            <w:tcMar>
              <w:top w:w="120" w:type="dxa"/>
              <w:bottom w:w="120" w:type="dxa"/>
              <w:left w:w="150" w:type="dxa"/>
              <w:right w:w="150" w:type="dxa"/>
            </w:tcMar>
          </w:tcPr>
          <w:p>
            <w:pPr>
              <w:jc w:val="left"/>
            </w:pPr>
            <w:r>
              <w:rPr>
                <w:rFonts w:ascii="Arial" w:hAnsi="Arial"/>
                <w:b/>
                <w:color w:val="FFFFFF"/>
                <w:sz w:val="19"/>
              </w:rPr>
              <w:t>Requirement Description</w:t>
            </w:r>
          </w:p>
        </w:tc>
        <w:tc>
          <w:tcPr>
            <w:tcW w:type="dxa" w:w="3168"/>
            <w:shd w:fill="0F2942"/>
            <w:tcMar>
              <w:top w:w="120" w:type="dxa"/>
              <w:bottom w:w="120" w:type="dxa"/>
              <w:left w:w="150" w:type="dxa"/>
              <w:right w:w="150" w:type="dxa"/>
            </w:tcMar>
          </w:tcPr>
          <w:p>
            <w:pPr>
              <w:jc w:val="left"/>
            </w:pPr>
            <w:r>
              <w:rPr>
                <w:rFonts w:ascii="Arial" w:hAnsi="Arial"/>
                <w:b/>
                <w:color w:val="FFFFFF"/>
                <w:sz w:val="19"/>
              </w:rPr>
              <w:t>API Endpoint / Trigger</w:t>
            </w:r>
          </w:p>
        </w:tc>
      </w:tr>
      <w:tr>
        <w:tc>
          <w:tcPr>
            <w:tcW w:type="dxa" w:w="2016"/>
            <w:shd w:fill="FFFFFF"/>
            <w:tcMar>
              <w:top w:w="80" w:type="dxa"/>
              <w:bottom w:w="80" w:type="dxa"/>
              <w:left w:w="150" w:type="dxa"/>
              <w:right w:w="150" w:type="dxa"/>
            </w:tcMar>
          </w:tcPr>
          <w:p>
            <w:pPr>
              <w:jc w:val="left"/>
            </w:pPr>
            <w:r>
              <w:rPr>
                <w:rFonts w:ascii="Arial" w:hAnsi="Arial"/>
                <w:color w:val="2D3748"/>
                <w:sz w:val="18"/>
              </w:rPr>
              <w:t>Auth &amp; Setup</w:t>
            </w:r>
          </w:p>
        </w:tc>
        <w:tc>
          <w:tcPr>
            <w:tcW w:type="dxa" w:w="4608"/>
            <w:shd w:fill="FFFFFF"/>
            <w:tcMar>
              <w:top w:w="80" w:type="dxa"/>
              <w:bottom w:w="80" w:type="dxa"/>
              <w:left w:w="150" w:type="dxa"/>
              <w:right w:w="150" w:type="dxa"/>
            </w:tcMar>
          </w:tcPr>
          <w:p>
            <w:pPr>
              <w:jc w:val="left"/>
            </w:pPr>
            <w:r>
              <w:rPr>
                <w:rFonts w:ascii="Arial" w:hAnsi="Arial"/>
                <w:color w:val="2D3748"/>
                <w:sz w:val="18"/>
              </w:rPr>
              <w:t>Verify company code, fetch tenant branding, authenticate user credentials, enroll workstation hardware UUID</w:t>
            </w:r>
          </w:p>
        </w:tc>
        <w:tc>
          <w:tcPr>
            <w:tcW w:type="dxa" w:w="3168"/>
            <w:shd w:fill="FFFFFF"/>
            <w:tcMar>
              <w:top w:w="80" w:type="dxa"/>
              <w:bottom w:w="80" w:type="dxa"/>
              <w:left w:w="150" w:type="dxa"/>
              <w:right w:w="150" w:type="dxa"/>
            </w:tcMar>
          </w:tcPr>
          <w:p>
            <w:pPr>
              <w:jc w:val="left"/>
            </w:pPr>
            <w:r>
              <w:rPr>
                <w:rFonts w:ascii="Arial" w:hAnsi="Arial"/>
                <w:color w:val="2D3748"/>
                <w:sz w:val="18"/>
              </w:rPr>
              <w:t>POST /appcontroller/appcontroller</w:t>
              <w:br/>
              <w:t>POST /login/login</w:t>
              <w:br/>
              <w:t>POST /tracking/enroll_device</w:t>
            </w:r>
          </w:p>
        </w:tc>
      </w:tr>
      <w:tr>
        <w:tc>
          <w:tcPr>
            <w:tcW w:type="dxa" w:w="2016"/>
            <w:shd w:fill="F8FAFC"/>
            <w:tcMar>
              <w:top w:w="80" w:type="dxa"/>
              <w:bottom w:w="80" w:type="dxa"/>
              <w:left w:w="150" w:type="dxa"/>
              <w:right w:w="150" w:type="dxa"/>
            </w:tcMar>
          </w:tcPr>
          <w:p>
            <w:pPr>
              <w:jc w:val="left"/>
            </w:pPr>
            <w:r>
              <w:rPr>
                <w:rFonts w:ascii="Arial" w:hAnsi="Arial"/>
                <w:color w:val="2D3748"/>
                <w:sz w:val="18"/>
              </w:rPr>
              <w:t>Activity Tracking</w:t>
            </w:r>
          </w:p>
        </w:tc>
        <w:tc>
          <w:tcPr>
            <w:tcW w:type="dxa" w:w="4608"/>
            <w:shd w:fill="F8FAFC"/>
            <w:tcMar>
              <w:top w:w="80" w:type="dxa"/>
              <w:bottom w:w="80" w:type="dxa"/>
              <w:left w:w="150" w:type="dxa"/>
              <w:right w:w="150" w:type="dxa"/>
            </w:tcMar>
          </w:tcPr>
          <w:p>
            <w:pPr>
              <w:jc w:val="left"/>
            </w:pPr>
            <w:r>
              <w:rPr>
                <w:rFonts w:ascii="Arial" w:hAnsi="Arial"/>
                <w:color w:val="2D3748"/>
                <w:sz w:val="18"/>
              </w:rPr>
              <w:t>Poll active window every 1 sec; create session on app switch; update window title in place; detect idle timeout</w:t>
            </w:r>
          </w:p>
        </w:tc>
        <w:tc>
          <w:tcPr>
            <w:tcW w:type="dxa" w:w="3168"/>
            <w:shd w:fill="F8FAFC"/>
            <w:tcMar>
              <w:top w:w="80" w:type="dxa"/>
              <w:bottom w:w="80" w:type="dxa"/>
              <w:left w:w="150" w:type="dxa"/>
              <w:right w:w="150" w:type="dxa"/>
            </w:tcMar>
          </w:tcPr>
          <w:p>
            <w:pPr>
              <w:jc w:val="left"/>
            </w:pPr>
            <w:r>
              <w:rPr>
                <w:rFonts w:ascii="Arial" w:hAnsi="Arial"/>
                <w:color w:val="2D3748"/>
                <w:sz w:val="18"/>
              </w:rPr>
              <w:t>tracker/activity_tracker.py</w:t>
              <w:br/>
              <w:t>platform_support/</w:t>
            </w:r>
          </w:p>
        </w:tc>
      </w:tr>
      <w:tr>
        <w:tc>
          <w:tcPr>
            <w:tcW w:type="dxa" w:w="2016"/>
            <w:shd w:fill="FFFFFF"/>
            <w:tcMar>
              <w:top w:w="80" w:type="dxa"/>
              <w:bottom w:w="80" w:type="dxa"/>
              <w:left w:w="150" w:type="dxa"/>
              <w:right w:w="150" w:type="dxa"/>
            </w:tcMar>
          </w:tcPr>
          <w:p>
            <w:pPr>
              <w:jc w:val="left"/>
            </w:pPr>
            <w:r>
              <w:rPr>
                <w:rFonts w:ascii="Arial" w:hAnsi="Arial"/>
                <w:color w:val="2D3748"/>
                <w:sz w:val="18"/>
              </w:rPr>
              <w:t>Cloud Sync</w:t>
            </w:r>
          </w:p>
        </w:tc>
        <w:tc>
          <w:tcPr>
            <w:tcW w:type="dxa" w:w="4608"/>
            <w:shd w:fill="FFFFFF"/>
            <w:tcMar>
              <w:top w:w="80" w:type="dxa"/>
              <w:bottom w:w="80" w:type="dxa"/>
              <w:left w:w="150" w:type="dxa"/>
              <w:right w:w="150" w:type="dxa"/>
            </w:tcMar>
          </w:tcPr>
          <w:p>
            <w:pPr>
              <w:jc w:val="left"/>
            </w:pPr>
            <w:r>
              <w:rPr>
                <w:rFonts w:ascii="Arial" w:hAnsi="Arial"/>
                <w:color w:val="2D3748"/>
                <w:sz w:val="18"/>
              </w:rPr>
              <w:t>Batch send closed sessions (100 per page) with retry backoff; upload periodic JPEG screenshots; report health</w:t>
            </w:r>
          </w:p>
        </w:tc>
        <w:tc>
          <w:tcPr>
            <w:tcW w:type="dxa" w:w="3168"/>
            <w:shd w:fill="FFFFFF"/>
            <w:tcMar>
              <w:top w:w="80" w:type="dxa"/>
              <w:bottom w:w="80" w:type="dxa"/>
              <w:left w:w="150" w:type="dxa"/>
              <w:right w:w="150" w:type="dxa"/>
            </w:tcMar>
          </w:tcPr>
          <w:p>
            <w:pPr>
              <w:jc w:val="left"/>
            </w:pPr>
            <w:r>
              <w:rPr>
                <w:rFonts w:ascii="Arial" w:hAnsi="Arial"/>
                <w:color w:val="2D3748"/>
                <w:sz w:val="18"/>
              </w:rPr>
              <w:t>POST /tracking/save_activity_batch</w:t>
              <w:br/>
              <w:t>POST /tracking/upload_screenshot</w:t>
            </w:r>
          </w:p>
        </w:tc>
      </w:tr>
      <w:tr>
        <w:tc>
          <w:tcPr>
            <w:tcW w:type="dxa" w:w="2016"/>
            <w:shd w:fill="F8FAFC"/>
            <w:tcMar>
              <w:top w:w="80" w:type="dxa"/>
              <w:bottom w:w="80" w:type="dxa"/>
              <w:left w:w="150" w:type="dxa"/>
              <w:right w:w="150" w:type="dxa"/>
            </w:tcMar>
          </w:tcPr>
          <w:p>
            <w:pPr>
              <w:jc w:val="left"/>
            </w:pPr>
            <w:r>
              <w:rPr>
                <w:rFonts w:ascii="Arial" w:hAnsi="Arial"/>
                <w:color w:val="2D3748"/>
                <w:sz w:val="18"/>
              </w:rPr>
              <w:t>Dashboard UI</w:t>
            </w:r>
          </w:p>
        </w:tc>
        <w:tc>
          <w:tcPr>
            <w:tcW w:type="dxa" w:w="4608"/>
            <w:shd w:fill="F8FAFC"/>
            <w:tcMar>
              <w:top w:w="80" w:type="dxa"/>
              <w:bottom w:w="80" w:type="dxa"/>
              <w:left w:w="150" w:type="dxa"/>
              <w:right w:w="150" w:type="dxa"/>
            </w:tcMar>
          </w:tcPr>
          <w:p>
            <w:pPr>
              <w:jc w:val="left"/>
            </w:pPr>
            <w:r>
              <w:rPr>
                <w:rFonts w:ascii="Arial" w:hAnsi="Arial"/>
                <w:color w:val="2D3748"/>
                <w:sz w:val="18"/>
              </w:rPr>
              <w:t>Display Today Time, Start Time, Punch Time, Attendance badge, Attendance Calendar, Leave modal, KRA timesheet</w:t>
            </w:r>
          </w:p>
        </w:tc>
        <w:tc>
          <w:tcPr>
            <w:tcW w:type="dxa" w:w="3168"/>
            <w:shd w:fill="F8FAFC"/>
            <w:tcMar>
              <w:top w:w="80" w:type="dxa"/>
              <w:bottom w:w="80" w:type="dxa"/>
              <w:left w:w="150" w:type="dxa"/>
              <w:right w:w="150" w:type="dxa"/>
            </w:tcMar>
          </w:tcPr>
          <w:p>
            <w:pPr>
              <w:jc w:val="left"/>
            </w:pPr>
            <w:r>
              <w:rPr>
                <w:rFonts w:ascii="Arial" w:hAnsi="Arial"/>
                <w:color w:val="2D3748"/>
                <w:sz w:val="18"/>
              </w:rPr>
              <w:t>ui/dashboard.py</w:t>
              <w:br/>
              <w:t>ui/attendance_page.py</w:t>
              <w:br/>
              <w:t>ui/task_table.py</w:t>
            </w:r>
          </w:p>
        </w:tc>
      </w:tr>
      <w:tr>
        <w:tc>
          <w:tcPr>
            <w:tcW w:type="dxa" w:w="2016"/>
            <w:shd w:fill="FFFFFF"/>
            <w:tcMar>
              <w:top w:w="80" w:type="dxa"/>
              <w:bottom w:w="80" w:type="dxa"/>
              <w:left w:w="150" w:type="dxa"/>
              <w:right w:w="150" w:type="dxa"/>
            </w:tcMar>
          </w:tcPr>
          <w:p>
            <w:pPr>
              <w:jc w:val="left"/>
            </w:pPr>
            <w:r>
              <w:rPr>
                <w:rFonts w:ascii="Arial" w:hAnsi="Arial"/>
                <w:color w:val="2D3748"/>
                <w:sz w:val="18"/>
              </w:rPr>
              <w:t>HRMS Bridge</w:t>
            </w:r>
          </w:p>
        </w:tc>
        <w:tc>
          <w:tcPr>
            <w:tcW w:type="dxa" w:w="4608"/>
            <w:shd w:fill="FFFFFF"/>
            <w:tcMar>
              <w:top w:w="80" w:type="dxa"/>
              <w:bottom w:w="80" w:type="dxa"/>
              <w:left w:w="150" w:type="dxa"/>
              <w:right w:w="150" w:type="dxa"/>
            </w:tcMar>
          </w:tcPr>
          <w:p>
            <w:pPr>
              <w:jc w:val="left"/>
            </w:pPr>
            <w:r>
              <w:rPr>
                <w:rFonts w:ascii="Arial" w:hAnsi="Arial"/>
                <w:color w:val="2D3748"/>
                <w:sz w:val="18"/>
              </w:rPr>
              <w:t>Generate secure temporary HTML auto-login bridge to open tenant web portal in default browser with auto-cleanup</w:t>
            </w:r>
          </w:p>
        </w:tc>
        <w:tc>
          <w:tcPr>
            <w:tcW w:type="dxa" w:w="3168"/>
            <w:shd w:fill="FFFFFF"/>
            <w:tcMar>
              <w:top w:w="80" w:type="dxa"/>
              <w:bottom w:w="80" w:type="dxa"/>
              <w:left w:w="150" w:type="dxa"/>
              <w:right w:w="150" w:type="dxa"/>
            </w:tcMar>
          </w:tcPr>
          <w:p>
            <w:pPr>
              <w:jc w:val="left"/>
            </w:pPr>
            <w:r>
              <w:rPr>
                <w:rFonts w:ascii="Arial" w:hAnsi="Arial"/>
                <w:color w:val="2D3748"/>
                <w:sz w:val="18"/>
              </w:rPr>
              <w:t>services/hrms_portal_service.py</w:t>
            </w:r>
          </w:p>
        </w:tc>
      </w:tr>
      <w:tr>
        <w:tc>
          <w:tcPr>
            <w:tcW w:type="dxa" w:w="2016"/>
            <w:shd w:fill="F8FAFC"/>
            <w:tcMar>
              <w:top w:w="80" w:type="dxa"/>
              <w:bottom w:w="80" w:type="dxa"/>
              <w:left w:w="150" w:type="dxa"/>
              <w:right w:w="150" w:type="dxa"/>
            </w:tcMar>
          </w:tcPr>
          <w:p>
            <w:pPr>
              <w:jc w:val="left"/>
            </w:pPr>
            <w:r>
              <w:rPr>
                <w:rFonts w:ascii="Arial" w:hAnsi="Arial"/>
                <w:color w:val="2D3748"/>
                <w:sz w:val="18"/>
              </w:rPr>
              <w:t>Auto-Update</w:t>
            </w:r>
          </w:p>
        </w:tc>
        <w:tc>
          <w:tcPr>
            <w:tcW w:type="dxa" w:w="4608"/>
            <w:shd w:fill="F8FAFC"/>
            <w:tcMar>
              <w:top w:w="80" w:type="dxa"/>
              <w:bottom w:w="80" w:type="dxa"/>
              <w:left w:w="150" w:type="dxa"/>
              <w:right w:w="150" w:type="dxa"/>
            </w:tcMar>
          </w:tcPr>
          <w:p>
            <w:pPr>
              <w:jc w:val="left"/>
            </w:pPr>
            <w:r>
              <w:rPr>
                <w:rFonts w:ascii="Arial" w:hAnsi="Arial"/>
                <w:color w:val="2D3748"/>
                <w:sz w:val="18"/>
              </w:rPr>
              <w:t>Check live server release; compare semantically; download valid PE installer; spawn detached silent updater</w:t>
            </w:r>
          </w:p>
        </w:tc>
        <w:tc>
          <w:tcPr>
            <w:tcW w:type="dxa" w:w="3168"/>
            <w:shd w:fill="F8FAFC"/>
            <w:tcMar>
              <w:top w:w="80" w:type="dxa"/>
              <w:bottom w:w="80" w:type="dxa"/>
              <w:left w:w="150" w:type="dxa"/>
              <w:right w:w="150" w:type="dxa"/>
            </w:tcMar>
          </w:tcPr>
          <w:p>
            <w:pPr>
              <w:jc w:val="left"/>
            </w:pPr>
            <w:r>
              <w:rPr>
                <w:rFonts w:ascii="Arial" w:hAnsi="Arial"/>
                <w:color w:val="2D3748"/>
                <w:sz w:val="18"/>
              </w:rPr>
              <w:t>POST /punch/check_new_version</w:t>
              <w:br/>
              <w:t>services/update_service.py</w:t>
            </w:r>
          </w:p>
        </w:tc>
      </w:tr>
    </w:tbl>
    <w:p>
      <w:pPr>
        <w:spacing w:after="160"/>
      </w:pPr>
    </w:p>
    <w:p>
      <w:pPr>
        <w:keepNext/>
        <w:spacing w:before="280" w:after="120"/>
      </w:pPr>
      <w:r>
        <w:rPr>
          <w:rFonts w:ascii="Arial" w:hAnsi="Arial"/>
          <w:b/>
          <w:color w:val="0F2942"/>
          <w:sz w:val="28"/>
        </w:rPr>
        <w:t>4. Non-Functional &amp; Operational Requirements</w:t>
      </w:r>
    </w:p>
    <w:p>
      <w:pPr>
        <w:pStyle w:val="ListBullet"/>
        <w:spacing w:after="60" w:line="276" w:lineRule="auto"/>
      </w:pPr>
      <w:r>
        <w:rPr>
          <w:rFonts w:ascii="Arial" w:hAnsi="Arial"/>
          <w:b/>
          <w:color w:val="2D3748"/>
          <w:sz w:val="20"/>
        </w:rPr>
        <w:t xml:space="preserve">Performance: </w:t>
      </w:r>
      <w:r>
        <w:rPr>
          <w:rFonts w:ascii="Arial" w:hAnsi="Arial"/>
          <w:color w:val="2D3748"/>
          <w:sz w:val="20"/>
        </w:rPr>
        <w:t>Background tracking loop overhead must remain &lt; 1.0% CPU and &lt; 85 MB RAM.</w:t>
      </w:r>
    </w:p>
    <w:p>
      <w:pPr>
        <w:pStyle w:val="ListBullet"/>
        <w:spacing w:after="60" w:line="276" w:lineRule="auto"/>
      </w:pPr>
      <w:r>
        <w:rPr>
          <w:rFonts w:ascii="Arial" w:hAnsi="Arial"/>
          <w:b/>
          <w:color w:val="2D3748"/>
          <w:sz w:val="20"/>
        </w:rPr>
        <w:t xml:space="preserve">Security: </w:t>
      </w:r>
      <w:r>
        <w:rPr>
          <w:rFonts w:ascii="Arial" w:hAnsi="Arial"/>
          <w:color w:val="2D3748"/>
          <w:sz w:val="20"/>
        </w:rPr>
        <w:t>All network communication must enforce TLS 1.2+ encryption with certificate validation.</w:t>
      </w:r>
    </w:p>
    <w:p>
      <w:pPr>
        <w:pStyle w:val="ListBullet"/>
        <w:spacing w:after="60" w:line="276" w:lineRule="auto"/>
      </w:pPr>
      <w:r>
        <w:rPr>
          <w:rFonts w:ascii="Arial" w:hAnsi="Arial"/>
          <w:b/>
          <w:color w:val="2D3748"/>
          <w:sz w:val="20"/>
        </w:rPr>
        <w:t xml:space="preserve">Reliability: </w:t>
      </w:r>
      <w:r>
        <w:rPr>
          <w:rFonts w:ascii="Arial" w:hAnsi="Arial"/>
          <w:color w:val="2D3748"/>
          <w:sz w:val="20"/>
        </w:rPr>
        <w:t>Local SQLite database must use Write-Ahead Logging (WAL) to prevent database locks.</w:t>
      </w:r>
    </w:p>
    <w:p>
      <w:pPr>
        <w:pStyle w:val="ListBullet"/>
        <w:spacing w:after="60" w:line="276" w:lineRule="auto"/>
      </w:pPr>
      <w:r>
        <w:rPr>
          <w:rFonts w:ascii="Arial" w:hAnsi="Arial"/>
          <w:b/>
          <w:color w:val="2D3748"/>
          <w:sz w:val="20"/>
        </w:rPr>
        <w:t xml:space="preserve">Cross-Platform Parity: </w:t>
      </w:r>
      <w:r>
        <w:rPr>
          <w:rFonts w:ascii="Arial" w:hAnsi="Arial"/>
          <w:color w:val="2D3748"/>
          <w:sz w:val="20"/>
        </w:rPr>
        <w:t>Single codebase supporting Windows 10/11 and macOS 12+ with zero OS-specific branching in UI.</w:t>
      </w:r>
    </w:p>
    <w:p>
      <w:pPr>
        <w:pStyle w:val="ListBullet"/>
        <w:spacing w:after="60" w:line="276" w:lineRule="auto"/>
      </w:pPr>
      <w:r>
        <w:rPr>
          <w:rFonts w:ascii="Arial" w:hAnsi="Arial"/>
          <w:b/>
          <w:color w:val="2D3748"/>
          <w:sz w:val="20"/>
        </w:rPr>
        <w:t xml:space="preserve">Testability: </w:t>
      </w:r>
      <w:r>
        <w:rPr>
          <w:rFonts w:ascii="Arial" w:hAnsi="Arial"/>
          <w:color w:val="2D3748"/>
          <w:sz w:val="20"/>
        </w:rPr>
        <w:t>Comprehensive test coverage with 295 automated tests executing on CI/CD runners.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