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E73BE"/>
          <w:sz w:val="19"/>
        </w:rPr>
        <w:t>INDOVISION CONSULTANCY SERVICES</w:t>
      </w:r>
    </w:p>
    <w:p>
      <w:pPr>
        <w:spacing w:before="80" w:after="40"/>
      </w:pPr>
      <w:r>
        <w:rPr>
          <w:rFonts w:ascii="Calibri" w:hAnsi="Calibri"/>
          <w:b/>
          <w:color w:val="0E4B89"/>
          <w:sz w:val="44"/>
        </w:rPr>
        <w:t>Business Requirements Document (BRD)</w:t>
      </w:r>
    </w:p>
    <w:p>
      <w:pPr>
        <w:spacing w:before="40" w:after="200"/>
      </w:pPr>
      <w:r>
        <w:rPr>
          <w:rFonts w:ascii="Calibri" w:hAnsi="Calibri"/>
          <w:i/>
          <w:color w:val="6C757D"/>
          <w:sz w:val="20"/>
        </w:rPr>
        <w:t>Project: iHRMS Monitor - Windows Desktop Monitoring Agent | Document Version: v1.0.1 | Platform: Windows 10/11 x64</w:t>
      </w:r>
    </w:p>
    <w:p>
      <w:pPr>
        <w:spacing w:before="0" w:after="280"/>
      </w:pPr>
      <w:r>
        <w:rPr>
          <w:color w:val="1E73BE"/>
        </w:rPr>
        <w:t>――――――――――――――――――――――――――――――――――――――――――――――――――――――――――――</w:t>
      </w:r>
    </w:p>
    <w:p>
      <w:pPr>
        <w:keepNext/>
        <w:spacing w:before="320" w:after="80"/>
      </w:pPr>
      <w:r>
        <w:rPr>
          <w:rFonts w:ascii="Calibri" w:hAnsi="Calibri"/>
          <w:b/>
          <w:color w:val="0E4B89"/>
          <w:sz w:val="28"/>
        </w:rPr>
        <w:t>1. Executive Summary</w:t>
      </w:r>
    </w:p>
    <w:p>
      <w:pPr>
        <w:spacing w:before="40" w:after="80" w:line="276" w:lineRule="auto"/>
      </w:pPr>
      <w:r>
        <w:rPr>
          <w:rFonts w:ascii="Calibri" w:hAnsi="Calibri"/>
          <w:color w:val="212529"/>
          <w:sz w:val="20"/>
        </w:rPr>
        <w:t>The iHRMS Monitor is an enterprise-grade Windows desktop monitoring agent seamlessly integrated with the centralized iHRMS platform. Built using Python and PySide6 (Qt6), the application provides organizations with transparent, automated visibility into employee desktop activity, application usage, active vs. idle distribution, and audit verification through periodic screenshots.</w:t>
      </w:r>
    </w:p>
    <w:p>
      <w:pPr>
        <w:spacing w:before="40" w:after="80" w:line="276" w:lineRule="auto"/>
      </w:pPr>
      <w:r>
        <w:rPr>
          <w:rFonts w:ascii="Calibri" w:hAnsi="Calibri"/>
          <w:color w:val="212529"/>
          <w:sz w:val="20"/>
        </w:rPr>
        <w:t>The solution employs an offline-first architecture to guarantee 100% data integrity even during prolonged network outages. All tracking logs and screenshots are buffered locally in the current Windows user's writable AppData directory (%LOCALAPPDATA%\iHRMS Monitor\) and automatically synchronized with backend REST APIs once connectivity is restored, followed by strict server-confirmed local file cleanup.</w:t>
      </w:r>
    </w:p>
    <w:p>
      <w:pPr>
        <w:keepNext/>
        <w:spacing w:before="320" w:after="80"/>
      </w:pPr>
      <w:r>
        <w:rPr>
          <w:rFonts w:ascii="Calibri" w:hAnsi="Calibri"/>
          <w:b/>
          <w:color w:val="0E4B89"/>
          <w:sz w:val="28"/>
        </w:rPr>
        <w:t>2. Business Problem &amp; Strategic Objectives</w:t>
      </w:r>
    </w:p>
    <w:p>
      <w:pPr>
        <w:spacing w:before="40" w:after="80" w:line="276" w:lineRule="auto"/>
      </w:pPr>
      <w:r>
        <w:rPr>
          <w:rFonts w:ascii="Calibri" w:hAnsi="Calibri"/>
          <w:color w:val="212529"/>
          <w:sz w:val="20"/>
        </w:rPr>
        <w:t>Modern distributed and hybrid enterprise environments require objective, automated tracking of workplace activities without imposing manual timesheet burdens on employees. Traditional HRMS platforms record attendance and leave but lack granular visibility into desktop productivity.</w:t>
      </w:r>
    </w:p>
    <w:p>
      <w:pPr>
        <w:spacing w:before="40" w:after="80" w:line="276" w:lineRule="auto"/>
      </w:pPr>
      <w:r>
        <w:rPr>
          <w:rFonts w:ascii="Calibri" w:hAnsi="Calibri"/>
          <w:color w:val="212529"/>
          <w:sz w:val="20"/>
        </w:rPr>
        <w:t>The key business challenges solved by iHRMS Monitor include:</w:t>
      </w:r>
    </w:p>
    <w:p>
      <w:pPr>
        <w:pStyle w:val="ListBullet"/>
        <w:spacing w:before="20" w:after="40" w:line="276" w:lineRule="auto"/>
      </w:pPr>
      <w:r>
        <w:rPr>
          <w:rFonts w:ascii="Calibri" w:hAnsi="Calibri"/>
          <w:b/>
          <w:color w:val="212529"/>
          <w:sz w:val="20"/>
        </w:rPr>
        <w:t xml:space="preserve">Automated Time Allocation: </w:t>
      </w:r>
      <w:r>
        <w:rPr>
          <w:rFonts w:ascii="Calibri" w:hAnsi="Calibri"/>
          <w:color w:val="212529"/>
          <w:sz w:val="20"/>
        </w:rPr>
        <w:t>Capturing precise start, end, and duration metrics for every opened desktop application without manual employee intervention.</w:t>
      </w:r>
    </w:p>
    <w:p>
      <w:pPr>
        <w:pStyle w:val="ListBullet"/>
        <w:spacing w:before="20" w:after="40" w:line="276" w:lineRule="auto"/>
      </w:pPr>
      <w:r>
        <w:rPr>
          <w:rFonts w:ascii="Calibri" w:hAnsi="Calibri"/>
          <w:b/>
          <w:color w:val="212529"/>
          <w:sz w:val="20"/>
        </w:rPr>
        <w:t xml:space="preserve">Accurate Idle Time Attribution: </w:t>
      </w:r>
      <w:r>
        <w:rPr>
          <w:rFonts w:ascii="Calibri" w:hAnsi="Calibri"/>
          <w:color w:val="212529"/>
          <w:sz w:val="20"/>
        </w:rPr>
        <w:t>Preserving the active application where an employee became idle and measuring exact idle duration rather than generic unattributed idle time.</w:t>
      </w:r>
    </w:p>
    <w:p>
      <w:pPr>
        <w:pStyle w:val="ListBullet"/>
        <w:spacing w:before="20" w:after="40" w:line="276" w:lineRule="auto"/>
      </w:pPr>
      <w:r>
        <w:rPr>
          <w:rFonts w:ascii="Calibri" w:hAnsi="Calibri"/>
          <w:b/>
          <w:color w:val="212529"/>
          <w:sz w:val="20"/>
        </w:rPr>
        <w:t xml:space="preserve">Guaranteed Offline Recording: </w:t>
      </w:r>
      <w:r>
        <w:rPr>
          <w:rFonts w:ascii="Calibri" w:hAnsi="Calibri"/>
          <w:color w:val="212529"/>
          <w:sz w:val="20"/>
        </w:rPr>
        <w:t>Ensuring field, remote, or traveling employees continue to be tracked without data loss during internet drops.</w:t>
      </w:r>
    </w:p>
    <w:p>
      <w:pPr>
        <w:pStyle w:val="ListBullet"/>
        <w:spacing w:before="20" w:after="40" w:line="276" w:lineRule="auto"/>
      </w:pPr>
      <w:r>
        <w:rPr>
          <w:rFonts w:ascii="Calibri" w:hAnsi="Calibri"/>
          <w:b/>
          <w:color w:val="212529"/>
          <w:sz w:val="20"/>
        </w:rPr>
        <w:t xml:space="preserve">Hardware-Bound Security: </w:t>
      </w:r>
      <w:r>
        <w:rPr>
          <w:rFonts w:ascii="Calibri" w:hAnsi="Calibri"/>
          <w:color w:val="212529"/>
          <w:sz w:val="20"/>
        </w:rPr>
        <w:t>Ensuring telemetry is cryptographically bound to enrolled physical devices, preventing credential sharing or unauthorized access.</w:t>
      </w:r>
    </w:p>
    <w:p>
      <w:pPr>
        <w:pStyle w:val="ListBullet"/>
        <w:spacing w:before="20" w:after="40" w:line="276" w:lineRule="auto"/>
      </w:pPr>
      <w:r>
        <w:rPr>
          <w:rFonts w:ascii="Calibri" w:hAnsi="Calibri"/>
          <w:b/>
          <w:color w:val="212529"/>
          <w:sz w:val="20"/>
        </w:rPr>
        <w:t xml:space="preserve">Zero-Maintenance Client Lifecycle: </w:t>
      </w:r>
      <w:r>
        <w:rPr>
          <w:rFonts w:ascii="Calibri" w:hAnsi="Calibri"/>
          <w:color w:val="212529"/>
          <w:sz w:val="20"/>
        </w:rPr>
        <w:t>Delivering silent background auto-updates and Single Source of Truth versioning across the enterprise.</w:t>
      </w:r>
    </w:p>
    <w:p>
      <w:pPr>
        <w:keepNext/>
        <w:spacing w:before="320" w:after="80"/>
      </w:pPr>
      <w:r>
        <w:rPr>
          <w:rFonts w:ascii="Calibri" w:hAnsi="Calibri"/>
          <w:b/>
          <w:color w:val="0E4B89"/>
          <w:sz w:val="28"/>
        </w:rPr>
        <w:t>3. Stakeholder Roles &amp; Access Model</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0E4B89"/>
            <w:tcMar>
              <w:top w:w="100" w:type="dxa"/>
              <w:bottom w:w="100" w:type="dxa"/>
              <w:left w:w="120" w:type="dxa"/>
              <w:right w:w="120" w:type="dxa"/>
            </w:tcMar>
          </w:tcPr>
          <w:p>
            <w:pPr>
              <w:jc w:val="left"/>
            </w:pPr>
            <w:r>
              <w:rPr>
                <w:rFonts w:ascii="Calibri" w:hAnsi="Calibri"/>
                <w:b/>
                <w:color w:val="FFFFFF"/>
                <w:sz w:val="19"/>
              </w:rPr>
              <w:t>Stakeholder Role</w:t>
            </w:r>
          </w:p>
        </w:tc>
        <w:tc>
          <w:tcPr>
            <w:tcW w:type="dxa" w:w="3312"/>
            <w:shd w:fill="0E4B89"/>
            <w:tcMar>
              <w:top w:w="100" w:type="dxa"/>
              <w:bottom w:w="100" w:type="dxa"/>
              <w:left w:w="120" w:type="dxa"/>
              <w:right w:w="120" w:type="dxa"/>
            </w:tcMar>
          </w:tcPr>
          <w:p>
            <w:pPr>
              <w:jc w:val="left"/>
            </w:pPr>
            <w:r>
              <w:rPr>
                <w:rFonts w:ascii="Calibri" w:hAnsi="Calibri"/>
                <w:b/>
                <w:color w:val="FFFFFF"/>
                <w:sz w:val="19"/>
              </w:rPr>
              <w:t>System Interaction</w:t>
            </w:r>
          </w:p>
        </w:tc>
        <w:tc>
          <w:tcPr>
            <w:tcW w:type="dxa" w:w="3312"/>
            <w:shd w:fill="0E4B89"/>
            <w:tcMar>
              <w:top w:w="100" w:type="dxa"/>
              <w:bottom w:w="100" w:type="dxa"/>
              <w:left w:w="120" w:type="dxa"/>
              <w:right w:w="120" w:type="dxa"/>
            </w:tcMar>
          </w:tcPr>
          <w:p>
            <w:pPr>
              <w:jc w:val="left"/>
            </w:pPr>
            <w:r>
              <w:rPr>
                <w:rFonts w:ascii="Calibri" w:hAnsi="Calibri"/>
                <w:b/>
                <w:color w:val="FFFFFF"/>
                <w:sz w:val="19"/>
              </w:rPr>
              <w:t>Key Business Responsibilities</w:t>
            </w:r>
          </w:p>
        </w:tc>
      </w:tr>
      <w:tr>
        <w:tc>
          <w:tcPr>
            <w:tcW w:type="dxa" w:w="3312"/>
            <w:tcMar>
              <w:top w:w="70" w:type="dxa"/>
              <w:bottom w:w="70" w:type="dxa"/>
              <w:left w:w="120" w:type="dxa"/>
              <w:right w:w="120" w:type="dxa"/>
            </w:tcMar>
          </w:tcPr>
          <w:p>
            <w:pPr>
              <w:jc w:val="left"/>
            </w:pPr>
            <w:r>
              <w:rPr>
                <w:rFonts w:ascii="Calibri" w:hAnsi="Calibri"/>
                <w:color w:val="212529"/>
                <w:sz w:val="18"/>
              </w:rPr>
              <w:t>Monitored Employee</w:t>
            </w:r>
          </w:p>
        </w:tc>
        <w:tc>
          <w:tcPr>
            <w:tcW w:type="dxa" w:w="3312"/>
            <w:tcMar>
              <w:top w:w="70" w:type="dxa"/>
              <w:bottom w:w="70" w:type="dxa"/>
              <w:left w:w="120" w:type="dxa"/>
              <w:right w:w="120" w:type="dxa"/>
            </w:tcMar>
          </w:tcPr>
          <w:p>
            <w:pPr>
              <w:jc w:val="left"/>
            </w:pPr>
            <w:r>
              <w:rPr>
                <w:rFonts w:ascii="Calibri" w:hAnsi="Calibri"/>
                <w:color w:val="212529"/>
                <w:sz w:val="18"/>
              </w:rPr>
              <w:t>Windows Desktop Client (EXE)</w:t>
            </w:r>
          </w:p>
        </w:tc>
        <w:tc>
          <w:tcPr>
            <w:tcW w:type="dxa" w:w="3312"/>
            <w:tcMar>
              <w:top w:w="70" w:type="dxa"/>
              <w:bottom w:w="70" w:type="dxa"/>
              <w:left w:w="120" w:type="dxa"/>
              <w:right w:w="120" w:type="dxa"/>
            </w:tcMar>
          </w:tcPr>
          <w:p>
            <w:pPr>
              <w:jc w:val="left"/>
            </w:pPr>
            <w:r>
              <w:rPr>
                <w:rFonts w:ascii="Calibri" w:hAnsi="Calibri"/>
                <w:color w:val="212529"/>
                <w:sz w:val="18"/>
              </w:rPr>
              <w:t>Logs in via Company Code &amp; credentials; views daily personal timeline, uploaded records counter, tracking status, and device metadata.</w:t>
            </w:r>
          </w:p>
        </w:tc>
      </w:tr>
      <w:tr>
        <w:tc>
          <w:tcPr>
            <w:tcW w:type="dxa" w:w="3312"/>
            <w:shd w:fill="F4F7FA"/>
            <w:tcMar>
              <w:top w:w="70" w:type="dxa"/>
              <w:bottom w:w="70" w:type="dxa"/>
              <w:left w:w="120" w:type="dxa"/>
              <w:right w:w="120" w:type="dxa"/>
            </w:tcMar>
          </w:tcPr>
          <w:p>
            <w:pPr>
              <w:jc w:val="left"/>
            </w:pPr>
            <w:r>
              <w:rPr>
                <w:rFonts w:ascii="Calibri" w:hAnsi="Calibri"/>
                <w:color w:val="212529"/>
                <w:sz w:val="18"/>
              </w:rPr>
              <w:t>HR &amp; Operations Manager</w:t>
            </w:r>
          </w:p>
        </w:tc>
        <w:tc>
          <w:tcPr>
            <w:tcW w:type="dxa" w:w="3312"/>
            <w:shd w:fill="F4F7FA"/>
            <w:tcMar>
              <w:top w:w="70" w:type="dxa"/>
              <w:bottom w:w="70" w:type="dxa"/>
              <w:left w:w="120" w:type="dxa"/>
              <w:right w:w="120" w:type="dxa"/>
            </w:tcMar>
          </w:tcPr>
          <w:p>
            <w:pPr>
              <w:jc w:val="left"/>
            </w:pPr>
            <w:r>
              <w:rPr>
                <w:rFonts w:ascii="Calibri" w:hAnsi="Calibri"/>
                <w:color w:val="212529"/>
                <w:sz w:val="18"/>
              </w:rPr>
              <w:t>Central iHRMS Web Portal</w:t>
            </w:r>
          </w:p>
        </w:tc>
        <w:tc>
          <w:tcPr>
            <w:tcW w:type="dxa" w:w="3312"/>
            <w:shd w:fill="F4F7FA"/>
            <w:tcMar>
              <w:top w:w="70" w:type="dxa"/>
              <w:bottom w:w="70" w:type="dxa"/>
              <w:left w:w="120" w:type="dxa"/>
              <w:right w:w="120" w:type="dxa"/>
            </w:tcMar>
          </w:tcPr>
          <w:p>
            <w:pPr>
              <w:jc w:val="left"/>
            </w:pPr>
            <w:r>
              <w:rPr>
                <w:rFonts w:ascii="Calibri" w:hAnsi="Calibri"/>
                <w:color w:val="212529"/>
                <w:sz w:val="18"/>
              </w:rPr>
              <w:t>Analyzes aggregate productivity, idle duration reports, application usage breakdowns, and audit screenshots.</w:t>
            </w:r>
          </w:p>
        </w:tc>
      </w:tr>
      <w:tr>
        <w:tc>
          <w:tcPr>
            <w:tcW w:type="dxa" w:w="3312"/>
            <w:tcMar>
              <w:top w:w="70" w:type="dxa"/>
              <w:bottom w:w="70" w:type="dxa"/>
              <w:left w:w="120" w:type="dxa"/>
              <w:right w:w="120" w:type="dxa"/>
            </w:tcMar>
          </w:tcPr>
          <w:p>
            <w:pPr>
              <w:jc w:val="left"/>
            </w:pPr>
            <w:r>
              <w:rPr>
                <w:rFonts w:ascii="Calibri" w:hAnsi="Calibri"/>
                <w:color w:val="212529"/>
                <w:sz w:val="18"/>
              </w:rPr>
              <w:t>System Administrator</w:t>
            </w:r>
          </w:p>
        </w:tc>
        <w:tc>
          <w:tcPr>
            <w:tcW w:type="dxa" w:w="3312"/>
            <w:tcMar>
              <w:top w:w="70" w:type="dxa"/>
              <w:bottom w:w="70" w:type="dxa"/>
              <w:left w:w="120" w:type="dxa"/>
              <w:right w:w="120" w:type="dxa"/>
            </w:tcMar>
          </w:tcPr>
          <w:p>
            <w:pPr>
              <w:jc w:val="left"/>
            </w:pPr>
            <w:r>
              <w:rPr>
                <w:rFonts w:ascii="Calibri" w:hAnsi="Calibri"/>
                <w:color w:val="212529"/>
                <w:sz w:val="18"/>
              </w:rPr>
              <w:t>Inno Setup Installer / CLI</w:t>
            </w:r>
          </w:p>
        </w:tc>
        <w:tc>
          <w:tcPr>
            <w:tcW w:type="dxa" w:w="3312"/>
            <w:tcMar>
              <w:top w:w="70" w:type="dxa"/>
              <w:bottom w:w="70" w:type="dxa"/>
              <w:left w:w="120" w:type="dxa"/>
              <w:right w:w="120" w:type="dxa"/>
            </w:tcMar>
          </w:tcPr>
          <w:p>
            <w:pPr>
              <w:jc w:val="left"/>
            </w:pPr>
            <w:r>
              <w:rPr>
                <w:rFonts w:ascii="Calibri" w:hAnsi="Calibri"/>
                <w:color w:val="212529"/>
                <w:sz w:val="18"/>
              </w:rPr>
              <w:t>Deploys application silently across enterprise endpoints (/VERYSILENT), monitors device enrollment status and agent versions.</w:t>
            </w:r>
          </w:p>
        </w:tc>
      </w:tr>
      <w:tr>
        <w:tc>
          <w:tcPr>
            <w:tcW w:type="dxa" w:w="3312"/>
            <w:shd w:fill="F4F7FA"/>
            <w:tcMar>
              <w:top w:w="70" w:type="dxa"/>
              <w:bottom w:w="70" w:type="dxa"/>
              <w:left w:w="120" w:type="dxa"/>
              <w:right w:w="120" w:type="dxa"/>
            </w:tcMar>
          </w:tcPr>
          <w:p>
            <w:pPr>
              <w:jc w:val="left"/>
            </w:pPr>
            <w:r>
              <w:rPr>
                <w:rFonts w:ascii="Calibri" w:hAnsi="Calibri"/>
                <w:color w:val="212529"/>
                <w:sz w:val="18"/>
              </w:rPr>
              <w:t>Backend / App Controller</w:t>
            </w:r>
          </w:p>
        </w:tc>
        <w:tc>
          <w:tcPr>
            <w:tcW w:type="dxa" w:w="3312"/>
            <w:shd w:fill="F4F7FA"/>
            <w:tcMar>
              <w:top w:w="70" w:type="dxa"/>
              <w:bottom w:w="70" w:type="dxa"/>
              <w:left w:w="120" w:type="dxa"/>
              <w:right w:w="120" w:type="dxa"/>
            </w:tcMar>
          </w:tcPr>
          <w:p>
            <w:pPr>
              <w:jc w:val="left"/>
            </w:pPr>
            <w:r>
              <w:rPr>
                <w:rFonts w:ascii="Calibri" w:hAnsi="Calibri"/>
                <w:color w:val="212529"/>
                <w:sz w:val="18"/>
              </w:rPr>
              <w:t>REST APIs &amp; Database</w:t>
            </w:r>
          </w:p>
        </w:tc>
        <w:tc>
          <w:tcPr>
            <w:tcW w:type="dxa" w:w="3312"/>
            <w:shd w:fill="F4F7FA"/>
            <w:tcMar>
              <w:top w:w="70" w:type="dxa"/>
              <w:bottom w:w="70" w:type="dxa"/>
              <w:left w:w="120" w:type="dxa"/>
              <w:right w:w="120" w:type="dxa"/>
            </w:tcMar>
          </w:tcPr>
          <w:p>
            <w:pPr>
              <w:jc w:val="left"/>
            </w:pPr>
            <w:r>
              <w:rPr>
                <w:rFonts w:ascii="Calibri" w:hAnsi="Calibri"/>
                <w:color w:val="212529"/>
                <w:sz w:val="18"/>
              </w:rPr>
              <w:t>Verifies company tenant codes, validates device enrollment, ingests batch telemetry, and serves dynamic heartbeat configs.</w:t>
            </w:r>
          </w:p>
        </w:tc>
      </w:tr>
    </w:tbl>
    <w:p>
      <w:pPr>
        <w:spacing w:before="40" w:after="80"/>
      </w:pPr>
    </w:p>
    <w:p>
      <w:pPr>
        <w:keepNext/>
        <w:spacing w:before="320" w:after="80"/>
      </w:pPr>
      <w:r>
        <w:rPr>
          <w:rFonts w:ascii="Calibri" w:hAnsi="Calibri"/>
          <w:b/>
          <w:color w:val="0E4B89"/>
          <w:sz w:val="28"/>
        </w:rPr>
        <w:t>4. Functional Scope &amp; Requirements Matrix</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shd w:fill="0E4B89"/>
            <w:tcMar>
              <w:top w:w="100" w:type="dxa"/>
              <w:bottom w:w="100" w:type="dxa"/>
              <w:left w:w="120" w:type="dxa"/>
              <w:right w:w="120" w:type="dxa"/>
            </w:tcMar>
          </w:tcPr>
          <w:p>
            <w:pPr>
              <w:jc w:val="left"/>
            </w:pPr>
            <w:r>
              <w:rPr>
                <w:rFonts w:ascii="Calibri" w:hAnsi="Calibri"/>
                <w:b/>
                <w:color w:val="FFFFFF"/>
                <w:sz w:val="19"/>
              </w:rPr>
              <w:t>Req ID</w:t>
            </w:r>
          </w:p>
        </w:tc>
        <w:tc>
          <w:tcPr>
            <w:tcW w:type="dxa" w:w="2484"/>
            <w:shd w:fill="0E4B89"/>
            <w:tcMar>
              <w:top w:w="100" w:type="dxa"/>
              <w:bottom w:w="100" w:type="dxa"/>
              <w:left w:w="120" w:type="dxa"/>
              <w:right w:w="120" w:type="dxa"/>
            </w:tcMar>
          </w:tcPr>
          <w:p>
            <w:pPr>
              <w:jc w:val="left"/>
            </w:pPr>
            <w:r>
              <w:rPr>
                <w:rFonts w:ascii="Calibri" w:hAnsi="Calibri"/>
                <w:b/>
                <w:color w:val="FFFFFF"/>
                <w:sz w:val="19"/>
              </w:rPr>
              <w:t>Module</w:t>
            </w:r>
          </w:p>
        </w:tc>
        <w:tc>
          <w:tcPr>
            <w:tcW w:type="dxa" w:w="2484"/>
            <w:shd w:fill="0E4B89"/>
            <w:tcMar>
              <w:top w:w="100" w:type="dxa"/>
              <w:bottom w:w="100" w:type="dxa"/>
              <w:left w:w="120" w:type="dxa"/>
              <w:right w:w="120" w:type="dxa"/>
            </w:tcMar>
          </w:tcPr>
          <w:p>
            <w:pPr>
              <w:jc w:val="left"/>
            </w:pPr>
            <w:r>
              <w:rPr>
                <w:rFonts w:ascii="Calibri" w:hAnsi="Calibri"/>
                <w:b/>
                <w:color w:val="FFFFFF"/>
                <w:sz w:val="19"/>
              </w:rPr>
              <w:t>Business Requirement Description</w:t>
            </w:r>
          </w:p>
        </w:tc>
        <w:tc>
          <w:tcPr>
            <w:tcW w:type="dxa" w:w="2484"/>
            <w:shd w:fill="0E4B89"/>
            <w:tcMar>
              <w:top w:w="100" w:type="dxa"/>
              <w:bottom w:w="100" w:type="dxa"/>
              <w:left w:w="120" w:type="dxa"/>
              <w:right w:w="120" w:type="dxa"/>
            </w:tcMar>
          </w:tcPr>
          <w:p>
            <w:pPr>
              <w:jc w:val="left"/>
            </w:pPr>
            <w:r>
              <w:rPr>
                <w:rFonts w:ascii="Calibri" w:hAnsi="Calibri"/>
                <w:b/>
                <w:color w:val="FFFFFF"/>
                <w:sz w:val="19"/>
              </w:rPr>
              <w:t>Priority</w:t>
            </w:r>
          </w:p>
        </w:tc>
      </w:tr>
      <w:tr>
        <w:tc>
          <w:tcPr>
            <w:tcW w:type="dxa" w:w="2484"/>
            <w:tcMar>
              <w:top w:w="70" w:type="dxa"/>
              <w:bottom w:w="70" w:type="dxa"/>
              <w:left w:w="120" w:type="dxa"/>
              <w:right w:w="120" w:type="dxa"/>
            </w:tcMar>
          </w:tcPr>
          <w:p>
            <w:pPr>
              <w:jc w:val="left"/>
            </w:pPr>
            <w:r>
              <w:rPr>
                <w:rFonts w:ascii="Calibri" w:hAnsi="Calibri"/>
                <w:color w:val="212529"/>
                <w:sz w:val="18"/>
              </w:rPr>
              <w:t>BR-01</w:t>
            </w:r>
          </w:p>
        </w:tc>
        <w:tc>
          <w:tcPr>
            <w:tcW w:type="dxa" w:w="2484"/>
            <w:tcMar>
              <w:top w:w="70" w:type="dxa"/>
              <w:bottom w:w="70" w:type="dxa"/>
              <w:left w:w="120" w:type="dxa"/>
              <w:right w:w="120" w:type="dxa"/>
            </w:tcMar>
          </w:tcPr>
          <w:p>
            <w:pPr>
              <w:jc w:val="left"/>
            </w:pPr>
            <w:r>
              <w:rPr>
                <w:rFonts w:ascii="Calibri" w:hAnsi="Calibri"/>
                <w:color w:val="212529"/>
                <w:sz w:val="18"/>
              </w:rPr>
              <w:t>Tenant Verification</w:t>
            </w:r>
          </w:p>
        </w:tc>
        <w:tc>
          <w:tcPr>
            <w:tcW w:type="dxa" w:w="2484"/>
            <w:tcMar>
              <w:top w:w="70" w:type="dxa"/>
              <w:bottom w:w="70" w:type="dxa"/>
              <w:left w:w="120" w:type="dxa"/>
              <w:right w:w="120" w:type="dxa"/>
            </w:tcMar>
          </w:tcPr>
          <w:p>
            <w:pPr>
              <w:jc w:val="left"/>
            </w:pPr>
            <w:r>
              <w:rPr>
                <w:rFonts w:ascii="Calibri" w:hAnsi="Calibri"/>
                <w:color w:val="212529"/>
                <w:sz w:val="18"/>
              </w:rPr>
              <w:t>Verify multi-tenant Company Code against App Controller and lock base URL dynamically.</w:t>
            </w:r>
          </w:p>
        </w:tc>
        <w:tc>
          <w:tcPr>
            <w:tcW w:type="dxa" w:w="2484"/>
            <w:tcMar>
              <w:top w:w="70" w:type="dxa"/>
              <w:bottom w:w="70" w:type="dxa"/>
              <w:left w:w="120" w:type="dxa"/>
              <w:right w:w="120" w:type="dxa"/>
            </w:tcMar>
          </w:tcPr>
          <w:p>
            <w:pPr>
              <w:jc w:val="left"/>
            </w:pPr>
            <w:r>
              <w:rPr>
                <w:rFonts w:ascii="Calibri" w:hAnsi="Calibri"/>
                <w:color w:val="212529"/>
                <w:sz w:val="18"/>
              </w:rPr>
              <w:t>High</w:t>
            </w:r>
          </w:p>
        </w:tc>
      </w:tr>
      <w:tr>
        <w:tc>
          <w:tcPr>
            <w:tcW w:type="dxa" w:w="2484"/>
            <w:shd w:fill="F4F7FA"/>
            <w:tcMar>
              <w:top w:w="70" w:type="dxa"/>
              <w:bottom w:w="70" w:type="dxa"/>
              <w:left w:w="120" w:type="dxa"/>
              <w:right w:w="120" w:type="dxa"/>
            </w:tcMar>
          </w:tcPr>
          <w:p>
            <w:pPr>
              <w:jc w:val="left"/>
            </w:pPr>
            <w:r>
              <w:rPr>
                <w:rFonts w:ascii="Calibri" w:hAnsi="Calibri"/>
                <w:color w:val="212529"/>
                <w:sz w:val="18"/>
              </w:rPr>
              <w:t>BR-02</w:t>
            </w:r>
          </w:p>
        </w:tc>
        <w:tc>
          <w:tcPr>
            <w:tcW w:type="dxa" w:w="2484"/>
            <w:shd w:fill="F4F7FA"/>
            <w:tcMar>
              <w:top w:w="70" w:type="dxa"/>
              <w:bottom w:w="70" w:type="dxa"/>
              <w:left w:w="120" w:type="dxa"/>
              <w:right w:w="120" w:type="dxa"/>
            </w:tcMar>
          </w:tcPr>
          <w:p>
            <w:pPr>
              <w:jc w:val="left"/>
            </w:pPr>
            <w:r>
              <w:rPr>
                <w:rFonts w:ascii="Calibri" w:hAnsi="Calibri"/>
                <w:color w:val="212529"/>
                <w:sz w:val="18"/>
              </w:rPr>
              <w:t>Authentication &amp; RBAC</w:t>
            </w:r>
          </w:p>
        </w:tc>
        <w:tc>
          <w:tcPr>
            <w:tcW w:type="dxa" w:w="2484"/>
            <w:shd w:fill="F4F7FA"/>
            <w:tcMar>
              <w:top w:w="70" w:type="dxa"/>
              <w:bottom w:w="70" w:type="dxa"/>
              <w:left w:w="120" w:type="dxa"/>
              <w:right w:w="120" w:type="dxa"/>
            </w:tcMar>
          </w:tcPr>
          <w:p>
            <w:pPr>
              <w:jc w:val="left"/>
            </w:pPr>
            <w:r>
              <w:rPr>
                <w:rFonts w:ascii="Calibri" w:hAnsi="Calibri"/>
                <w:color w:val="212529"/>
                <w:sz w:val="18"/>
              </w:rPr>
              <w:t>Authenticate employee credentials, obtain JWT, and establish role-based tracking permissions.</w:t>
            </w:r>
          </w:p>
        </w:tc>
        <w:tc>
          <w:tcPr>
            <w:tcW w:type="dxa" w:w="2484"/>
            <w:shd w:fill="F4F7FA"/>
            <w:tcMar>
              <w:top w:w="70" w:type="dxa"/>
              <w:bottom w:w="70" w:type="dxa"/>
              <w:left w:w="120" w:type="dxa"/>
              <w:right w:w="120" w:type="dxa"/>
            </w:tcMar>
          </w:tcPr>
          <w:p>
            <w:pPr>
              <w:jc w:val="left"/>
            </w:pPr>
            <w:r>
              <w:rPr>
                <w:rFonts w:ascii="Calibri" w:hAnsi="Calibri"/>
                <w:color w:val="212529"/>
                <w:sz w:val="18"/>
              </w:rPr>
              <w:t>High</w:t>
            </w:r>
          </w:p>
        </w:tc>
      </w:tr>
      <w:tr>
        <w:tc>
          <w:tcPr>
            <w:tcW w:type="dxa" w:w="2484"/>
            <w:tcMar>
              <w:top w:w="70" w:type="dxa"/>
              <w:bottom w:w="70" w:type="dxa"/>
              <w:left w:w="120" w:type="dxa"/>
              <w:right w:w="120" w:type="dxa"/>
            </w:tcMar>
          </w:tcPr>
          <w:p>
            <w:pPr>
              <w:jc w:val="left"/>
            </w:pPr>
            <w:r>
              <w:rPr>
                <w:rFonts w:ascii="Calibri" w:hAnsi="Calibri"/>
                <w:color w:val="212529"/>
                <w:sz w:val="18"/>
              </w:rPr>
              <w:t>BR-03</w:t>
            </w:r>
          </w:p>
        </w:tc>
        <w:tc>
          <w:tcPr>
            <w:tcW w:type="dxa" w:w="2484"/>
            <w:tcMar>
              <w:top w:w="70" w:type="dxa"/>
              <w:bottom w:w="70" w:type="dxa"/>
              <w:left w:w="120" w:type="dxa"/>
              <w:right w:w="120" w:type="dxa"/>
            </w:tcMar>
          </w:tcPr>
          <w:p>
            <w:pPr>
              <w:jc w:val="left"/>
            </w:pPr>
            <w:r>
              <w:rPr>
                <w:rFonts w:ascii="Calibri" w:hAnsi="Calibri"/>
                <w:color w:val="212529"/>
                <w:sz w:val="18"/>
              </w:rPr>
              <w:t>Device Enrollment</w:t>
            </w:r>
          </w:p>
        </w:tc>
        <w:tc>
          <w:tcPr>
            <w:tcW w:type="dxa" w:w="2484"/>
            <w:tcMar>
              <w:top w:w="70" w:type="dxa"/>
              <w:bottom w:w="70" w:type="dxa"/>
              <w:left w:w="120" w:type="dxa"/>
              <w:right w:w="120" w:type="dxa"/>
            </w:tcMar>
          </w:tcPr>
          <w:p>
            <w:pPr>
              <w:jc w:val="left"/>
            </w:pPr>
            <w:r>
              <w:rPr>
                <w:rFonts w:ascii="Calibri" w:hAnsi="Calibri"/>
                <w:color w:val="212529"/>
                <w:sz w:val="18"/>
              </w:rPr>
              <w:t>Generate deterministic Hardware UUID and bind device to employee with scoped device token.</w:t>
            </w:r>
          </w:p>
        </w:tc>
        <w:tc>
          <w:tcPr>
            <w:tcW w:type="dxa" w:w="2484"/>
            <w:tcMar>
              <w:top w:w="70" w:type="dxa"/>
              <w:bottom w:w="70" w:type="dxa"/>
              <w:left w:w="120" w:type="dxa"/>
              <w:right w:w="120" w:type="dxa"/>
            </w:tcMar>
          </w:tcPr>
          <w:p>
            <w:pPr>
              <w:jc w:val="left"/>
            </w:pPr>
            <w:r>
              <w:rPr>
                <w:rFonts w:ascii="Calibri" w:hAnsi="Calibri"/>
                <w:color w:val="212529"/>
                <w:sz w:val="18"/>
              </w:rPr>
              <w:t>High</w:t>
            </w:r>
          </w:p>
        </w:tc>
      </w:tr>
      <w:tr>
        <w:tc>
          <w:tcPr>
            <w:tcW w:type="dxa" w:w="2484"/>
            <w:shd w:fill="F4F7FA"/>
            <w:tcMar>
              <w:top w:w="70" w:type="dxa"/>
              <w:bottom w:w="70" w:type="dxa"/>
              <w:left w:w="120" w:type="dxa"/>
              <w:right w:w="120" w:type="dxa"/>
            </w:tcMar>
          </w:tcPr>
          <w:p>
            <w:pPr>
              <w:jc w:val="left"/>
            </w:pPr>
            <w:r>
              <w:rPr>
                <w:rFonts w:ascii="Calibri" w:hAnsi="Calibri"/>
                <w:color w:val="212529"/>
                <w:sz w:val="18"/>
              </w:rPr>
              <w:t>BR-04</w:t>
            </w:r>
          </w:p>
        </w:tc>
        <w:tc>
          <w:tcPr>
            <w:tcW w:type="dxa" w:w="2484"/>
            <w:shd w:fill="F4F7FA"/>
            <w:tcMar>
              <w:top w:w="70" w:type="dxa"/>
              <w:bottom w:w="70" w:type="dxa"/>
              <w:left w:w="120" w:type="dxa"/>
              <w:right w:w="120" w:type="dxa"/>
            </w:tcMar>
          </w:tcPr>
          <w:p>
            <w:pPr>
              <w:jc w:val="left"/>
            </w:pPr>
            <w:r>
              <w:rPr>
                <w:rFonts w:ascii="Calibri" w:hAnsi="Calibri"/>
                <w:color w:val="212529"/>
                <w:sz w:val="18"/>
              </w:rPr>
              <w:t>Activity Tracking</w:t>
            </w:r>
          </w:p>
        </w:tc>
        <w:tc>
          <w:tcPr>
            <w:tcW w:type="dxa" w:w="2484"/>
            <w:shd w:fill="F4F7FA"/>
            <w:tcMar>
              <w:top w:w="70" w:type="dxa"/>
              <w:bottom w:w="70" w:type="dxa"/>
              <w:left w:w="120" w:type="dxa"/>
              <w:right w:w="120" w:type="dxa"/>
            </w:tcMar>
          </w:tcPr>
          <w:p>
            <w:pPr>
              <w:jc w:val="left"/>
            </w:pPr>
            <w:r>
              <w:rPr>
                <w:rFonts w:ascii="Calibri" w:hAnsi="Calibri"/>
                <w:color w:val="212529"/>
                <w:sz w:val="18"/>
              </w:rPr>
              <w:t>Poll active foreground window every 1 sec, recording application name, title, PID, and duration.</w:t>
            </w:r>
          </w:p>
        </w:tc>
        <w:tc>
          <w:tcPr>
            <w:tcW w:type="dxa" w:w="2484"/>
            <w:shd w:fill="F4F7FA"/>
            <w:tcMar>
              <w:top w:w="70" w:type="dxa"/>
              <w:bottom w:w="70" w:type="dxa"/>
              <w:left w:w="120" w:type="dxa"/>
              <w:right w:w="120" w:type="dxa"/>
            </w:tcMar>
          </w:tcPr>
          <w:p>
            <w:pPr>
              <w:jc w:val="left"/>
            </w:pPr>
            <w:r>
              <w:rPr>
                <w:rFonts w:ascii="Calibri" w:hAnsi="Calibri"/>
                <w:color w:val="212529"/>
                <w:sz w:val="18"/>
              </w:rPr>
              <w:t>High</w:t>
            </w:r>
          </w:p>
        </w:tc>
      </w:tr>
      <w:tr>
        <w:tc>
          <w:tcPr>
            <w:tcW w:type="dxa" w:w="2484"/>
            <w:tcMar>
              <w:top w:w="70" w:type="dxa"/>
              <w:bottom w:w="70" w:type="dxa"/>
              <w:left w:w="120" w:type="dxa"/>
              <w:right w:w="120" w:type="dxa"/>
            </w:tcMar>
          </w:tcPr>
          <w:p>
            <w:pPr>
              <w:jc w:val="left"/>
            </w:pPr>
            <w:r>
              <w:rPr>
                <w:rFonts w:ascii="Calibri" w:hAnsi="Calibri"/>
                <w:color w:val="212529"/>
                <w:sz w:val="18"/>
              </w:rPr>
              <w:t>BR-05</w:t>
            </w:r>
          </w:p>
        </w:tc>
        <w:tc>
          <w:tcPr>
            <w:tcW w:type="dxa" w:w="2484"/>
            <w:tcMar>
              <w:top w:w="70" w:type="dxa"/>
              <w:bottom w:w="70" w:type="dxa"/>
              <w:left w:w="120" w:type="dxa"/>
              <w:right w:w="120" w:type="dxa"/>
            </w:tcMar>
          </w:tcPr>
          <w:p>
            <w:pPr>
              <w:jc w:val="left"/>
            </w:pPr>
            <w:r>
              <w:rPr>
                <w:rFonts w:ascii="Calibri" w:hAnsi="Calibri"/>
                <w:color w:val="212529"/>
                <w:sz w:val="18"/>
              </w:rPr>
              <w:t>Idle Tracking</w:t>
            </w:r>
          </w:p>
        </w:tc>
        <w:tc>
          <w:tcPr>
            <w:tcW w:type="dxa" w:w="2484"/>
            <w:tcMar>
              <w:top w:w="70" w:type="dxa"/>
              <w:bottom w:w="70" w:type="dxa"/>
              <w:left w:w="120" w:type="dxa"/>
              <w:right w:w="120" w:type="dxa"/>
            </w:tcMar>
          </w:tcPr>
          <w:p>
            <w:pPr>
              <w:jc w:val="left"/>
            </w:pPr>
            <w:r>
              <w:rPr>
                <w:rFonts w:ascii="Calibri" w:hAnsi="Calibri"/>
                <w:color w:val="212529"/>
                <w:sz w:val="18"/>
              </w:rPr>
              <w:t>Preserve active app at idle entry and record idle start, end, and total duration on resumption.</w:t>
            </w:r>
          </w:p>
        </w:tc>
        <w:tc>
          <w:tcPr>
            <w:tcW w:type="dxa" w:w="2484"/>
            <w:tcMar>
              <w:top w:w="70" w:type="dxa"/>
              <w:bottom w:w="70" w:type="dxa"/>
              <w:left w:w="120" w:type="dxa"/>
              <w:right w:w="120" w:type="dxa"/>
            </w:tcMar>
          </w:tcPr>
          <w:p>
            <w:pPr>
              <w:jc w:val="left"/>
            </w:pPr>
            <w:r>
              <w:rPr>
                <w:rFonts w:ascii="Calibri" w:hAnsi="Calibri"/>
                <w:color w:val="212529"/>
                <w:sz w:val="18"/>
              </w:rPr>
              <w:t>High</w:t>
            </w:r>
          </w:p>
        </w:tc>
      </w:tr>
      <w:tr>
        <w:tc>
          <w:tcPr>
            <w:tcW w:type="dxa" w:w="2484"/>
            <w:shd w:fill="F4F7FA"/>
            <w:tcMar>
              <w:top w:w="70" w:type="dxa"/>
              <w:bottom w:w="70" w:type="dxa"/>
              <w:left w:w="120" w:type="dxa"/>
              <w:right w:w="120" w:type="dxa"/>
            </w:tcMar>
          </w:tcPr>
          <w:p>
            <w:pPr>
              <w:jc w:val="left"/>
            </w:pPr>
            <w:r>
              <w:rPr>
                <w:rFonts w:ascii="Calibri" w:hAnsi="Calibri"/>
                <w:color w:val="212529"/>
                <w:sz w:val="18"/>
              </w:rPr>
              <w:t>BR-06</w:t>
            </w:r>
          </w:p>
        </w:tc>
        <w:tc>
          <w:tcPr>
            <w:tcW w:type="dxa" w:w="2484"/>
            <w:shd w:fill="F4F7FA"/>
            <w:tcMar>
              <w:top w:w="70" w:type="dxa"/>
              <w:bottom w:w="70" w:type="dxa"/>
              <w:left w:w="120" w:type="dxa"/>
              <w:right w:w="120" w:type="dxa"/>
            </w:tcMar>
          </w:tcPr>
          <w:p>
            <w:pPr>
              <w:jc w:val="left"/>
            </w:pPr>
            <w:r>
              <w:rPr>
                <w:rFonts w:ascii="Calibri" w:hAnsi="Calibri"/>
                <w:color w:val="212529"/>
                <w:sz w:val="18"/>
              </w:rPr>
              <w:t>Screenshot Capture</w:t>
            </w:r>
          </w:p>
        </w:tc>
        <w:tc>
          <w:tcPr>
            <w:tcW w:type="dxa" w:w="2484"/>
            <w:shd w:fill="F4F7FA"/>
            <w:tcMar>
              <w:top w:w="70" w:type="dxa"/>
              <w:bottom w:w="70" w:type="dxa"/>
              <w:left w:w="120" w:type="dxa"/>
              <w:right w:w="120" w:type="dxa"/>
            </w:tcMar>
          </w:tcPr>
          <w:p>
            <w:pPr>
              <w:jc w:val="left"/>
            </w:pPr>
            <w:r>
              <w:rPr>
                <w:rFonts w:ascii="Calibri" w:hAnsi="Calibri"/>
                <w:color w:val="212529"/>
                <w:sz w:val="18"/>
              </w:rPr>
              <w:t>Capture periodic and context-switch screenshots, staged in user AppData folder.</w:t>
            </w:r>
          </w:p>
        </w:tc>
        <w:tc>
          <w:tcPr>
            <w:tcW w:type="dxa" w:w="2484"/>
            <w:shd w:fill="F4F7FA"/>
            <w:tcMar>
              <w:top w:w="70" w:type="dxa"/>
              <w:bottom w:w="70" w:type="dxa"/>
              <w:left w:w="120" w:type="dxa"/>
              <w:right w:w="120" w:type="dxa"/>
            </w:tcMar>
          </w:tcPr>
          <w:p>
            <w:pPr>
              <w:jc w:val="left"/>
            </w:pPr>
            <w:r>
              <w:rPr>
                <w:rFonts w:ascii="Calibri" w:hAnsi="Calibri"/>
                <w:color w:val="212529"/>
                <w:sz w:val="18"/>
              </w:rPr>
              <w:t>Medium</w:t>
            </w:r>
          </w:p>
        </w:tc>
      </w:tr>
      <w:tr>
        <w:tc>
          <w:tcPr>
            <w:tcW w:type="dxa" w:w="2484"/>
            <w:tcMar>
              <w:top w:w="70" w:type="dxa"/>
              <w:bottom w:w="70" w:type="dxa"/>
              <w:left w:w="120" w:type="dxa"/>
              <w:right w:w="120" w:type="dxa"/>
            </w:tcMar>
          </w:tcPr>
          <w:p>
            <w:pPr>
              <w:jc w:val="left"/>
            </w:pPr>
            <w:r>
              <w:rPr>
                <w:rFonts w:ascii="Calibri" w:hAnsi="Calibri"/>
                <w:color w:val="212529"/>
                <w:sz w:val="18"/>
              </w:rPr>
              <w:t>BR-07</w:t>
            </w:r>
          </w:p>
        </w:tc>
        <w:tc>
          <w:tcPr>
            <w:tcW w:type="dxa" w:w="2484"/>
            <w:tcMar>
              <w:top w:w="70" w:type="dxa"/>
              <w:bottom w:w="70" w:type="dxa"/>
              <w:left w:w="120" w:type="dxa"/>
              <w:right w:w="120" w:type="dxa"/>
            </w:tcMar>
          </w:tcPr>
          <w:p>
            <w:pPr>
              <w:jc w:val="left"/>
            </w:pPr>
            <w:r>
              <w:rPr>
                <w:rFonts w:ascii="Calibri" w:hAnsi="Calibri"/>
                <w:color w:val="212529"/>
                <w:sz w:val="18"/>
              </w:rPr>
              <w:t>Offline Storage</w:t>
            </w:r>
          </w:p>
        </w:tc>
        <w:tc>
          <w:tcPr>
            <w:tcW w:type="dxa" w:w="2484"/>
            <w:tcMar>
              <w:top w:w="70" w:type="dxa"/>
              <w:bottom w:w="70" w:type="dxa"/>
              <w:left w:w="120" w:type="dxa"/>
              <w:right w:w="120" w:type="dxa"/>
            </w:tcMar>
          </w:tcPr>
          <w:p>
            <w:pPr>
              <w:jc w:val="left"/>
            </w:pPr>
            <w:r>
              <w:rPr>
                <w:rFonts w:ascii="Calibri" w:hAnsi="Calibri"/>
                <w:color w:val="212529"/>
                <w:sz w:val="18"/>
              </w:rPr>
              <w:t>Persist all logs in SQLite (%LOCALAPPDATA%\iHRMS Monitor\data\) with zero data loss.</w:t>
            </w:r>
          </w:p>
        </w:tc>
        <w:tc>
          <w:tcPr>
            <w:tcW w:type="dxa" w:w="2484"/>
            <w:tcMar>
              <w:top w:w="70" w:type="dxa"/>
              <w:bottom w:w="70" w:type="dxa"/>
              <w:left w:w="120" w:type="dxa"/>
              <w:right w:w="120" w:type="dxa"/>
            </w:tcMar>
          </w:tcPr>
          <w:p>
            <w:pPr>
              <w:jc w:val="left"/>
            </w:pPr>
            <w:r>
              <w:rPr>
                <w:rFonts w:ascii="Calibri" w:hAnsi="Calibri"/>
                <w:color w:val="212529"/>
                <w:sz w:val="18"/>
              </w:rPr>
              <w:t>High</w:t>
            </w:r>
          </w:p>
        </w:tc>
      </w:tr>
      <w:tr>
        <w:tc>
          <w:tcPr>
            <w:tcW w:type="dxa" w:w="2484"/>
            <w:shd w:fill="F4F7FA"/>
            <w:tcMar>
              <w:top w:w="70" w:type="dxa"/>
              <w:bottom w:w="70" w:type="dxa"/>
              <w:left w:w="120" w:type="dxa"/>
              <w:right w:w="120" w:type="dxa"/>
            </w:tcMar>
          </w:tcPr>
          <w:p>
            <w:pPr>
              <w:jc w:val="left"/>
            </w:pPr>
            <w:r>
              <w:rPr>
                <w:rFonts w:ascii="Calibri" w:hAnsi="Calibri"/>
                <w:color w:val="212529"/>
                <w:sz w:val="18"/>
              </w:rPr>
              <w:t>BR-08</w:t>
            </w:r>
          </w:p>
        </w:tc>
        <w:tc>
          <w:tcPr>
            <w:tcW w:type="dxa" w:w="2484"/>
            <w:shd w:fill="F4F7FA"/>
            <w:tcMar>
              <w:top w:w="70" w:type="dxa"/>
              <w:bottom w:w="70" w:type="dxa"/>
              <w:left w:w="120" w:type="dxa"/>
              <w:right w:w="120" w:type="dxa"/>
            </w:tcMar>
          </w:tcPr>
          <w:p>
            <w:pPr>
              <w:jc w:val="left"/>
            </w:pPr>
            <w:r>
              <w:rPr>
                <w:rFonts w:ascii="Calibri" w:hAnsi="Calibri"/>
                <w:color w:val="212529"/>
                <w:sz w:val="18"/>
              </w:rPr>
              <w:t>Sync &amp; Cleanup</w:t>
            </w:r>
          </w:p>
        </w:tc>
        <w:tc>
          <w:tcPr>
            <w:tcW w:type="dxa" w:w="2484"/>
            <w:shd w:fill="F4F7FA"/>
            <w:tcMar>
              <w:top w:w="70" w:type="dxa"/>
              <w:bottom w:w="70" w:type="dxa"/>
              <w:left w:w="120" w:type="dxa"/>
              <w:right w:w="120" w:type="dxa"/>
            </w:tcMar>
          </w:tcPr>
          <w:p>
            <w:pPr>
              <w:jc w:val="left"/>
            </w:pPr>
            <w:r>
              <w:rPr>
                <w:rFonts w:ascii="Calibri" w:hAnsi="Calibri"/>
                <w:color w:val="212529"/>
                <w:sz w:val="18"/>
              </w:rPr>
              <w:t>Upload pending logs in batches; delete local screenshots only after server HTTP 200 confirmation.</w:t>
            </w:r>
          </w:p>
        </w:tc>
        <w:tc>
          <w:tcPr>
            <w:tcW w:type="dxa" w:w="2484"/>
            <w:shd w:fill="F4F7FA"/>
            <w:tcMar>
              <w:top w:w="70" w:type="dxa"/>
              <w:bottom w:w="70" w:type="dxa"/>
              <w:left w:w="120" w:type="dxa"/>
              <w:right w:w="120" w:type="dxa"/>
            </w:tcMar>
          </w:tcPr>
          <w:p>
            <w:pPr>
              <w:jc w:val="left"/>
            </w:pPr>
            <w:r>
              <w:rPr>
                <w:rFonts w:ascii="Calibri" w:hAnsi="Calibri"/>
                <w:color w:val="212529"/>
                <w:sz w:val="18"/>
              </w:rPr>
              <w:t>High</w:t>
            </w:r>
          </w:p>
        </w:tc>
      </w:tr>
      <w:tr>
        <w:tc>
          <w:tcPr>
            <w:tcW w:type="dxa" w:w="2484"/>
            <w:tcMar>
              <w:top w:w="70" w:type="dxa"/>
              <w:bottom w:w="70" w:type="dxa"/>
              <w:left w:w="120" w:type="dxa"/>
              <w:right w:w="120" w:type="dxa"/>
            </w:tcMar>
          </w:tcPr>
          <w:p>
            <w:pPr>
              <w:jc w:val="left"/>
            </w:pPr>
            <w:r>
              <w:rPr>
                <w:rFonts w:ascii="Calibri" w:hAnsi="Calibri"/>
                <w:color w:val="212529"/>
                <w:sz w:val="18"/>
              </w:rPr>
              <w:t>BR-09</w:t>
            </w:r>
          </w:p>
        </w:tc>
        <w:tc>
          <w:tcPr>
            <w:tcW w:type="dxa" w:w="2484"/>
            <w:tcMar>
              <w:top w:w="70" w:type="dxa"/>
              <w:bottom w:w="70" w:type="dxa"/>
              <w:left w:w="120" w:type="dxa"/>
              <w:right w:w="120" w:type="dxa"/>
            </w:tcMar>
          </w:tcPr>
          <w:p>
            <w:pPr>
              <w:jc w:val="left"/>
            </w:pPr>
            <w:r>
              <w:rPr>
                <w:rFonts w:ascii="Calibri" w:hAnsi="Calibri"/>
                <w:color w:val="212529"/>
                <w:sz w:val="18"/>
              </w:rPr>
              <w:t>Dynamic Heartbeat</w:t>
            </w:r>
          </w:p>
        </w:tc>
        <w:tc>
          <w:tcPr>
            <w:tcW w:type="dxa" w:w="2484"/>
            <w:tcMar>
              <w:top w:w="70" w:type="dxa"/>
              <w:bottom w:w="70" w:type="dxa"/>
              <w:left w:w="120" w:type="dxa"/>
              <w:right w:w="120" w:type="dxa"/>
            </w:tcMar>
          </w:tcPr>
          <w:p>
            <w:pPr>
              <w:jc w:val="left"/>
            </w:pPr>
            <w:r>
              <w:rPr>
                <w:rFonts w:ascii="Calibri" w:hAnsi="Calibri"/>
                <w:color w:val="212529"/>
                <w:sz w:val="18"/>
              </w:rPr>
              <w:t>Poll heartbeat periodically to adapt dynamic sync intervals and idle thresholds without restart.</w:t>
            </w:r>
          </w:p>
        </w:tc>
        <w:tc>
          <w:tcPr>
            <w:tcW w:type="dxa" w:w="2484"/>
            <w:tcMar>
              <w:top w:w="70" w:type="dxa"/>
              <w:bottom w:w="70" w:type="dxa"/>
              <w:left w:w="120" w:type="dxa"/>
              <w:right w:w="120" w:type="dxa"/>
            </w:tcMar>
          </w:tcPr>
          <w:p>
            <w:pPr>
              <w:jc w:val="left"/>
            </w:pPr>
            <w:r>
              <w:rPr>
                <w:rFonts w:ascii="Calibri" w:hAnsi="Calibri"/>
                <w:color w:val="212529"/>
                <w:sz w:val="18"/>
              </w:rPr>
              <w:t>Medium</w:t>
            </w:r>
          </w:p>
        </w:tc>
      </w:tr>
      <w:tr>
        <w:tc>
          <w:tcPr>
            <w:tcW w:type="dxa" w:w="2484"/>
            <w:shd w:fill="F4F7FA"/>
            <w:tcMar>
              <w:top w:w="70" w:type="dxa"/>
              <w:bottom w:w="70" w:type="dxa"/>
              <w:left w:w="120" w:type="dxa"/>
              <w:right w:w="120" w:type="dxa"/>
            </w:tcMar>
          </w:tcPr>
          <w:p>
            <w:pPr>
              <w:jc w:val="left"/>
            </w:pPr>
            <w:r>
              <w:rPr>
                <w:rFonts w:ascii="Calibri" w:hAnsi="Calibri"/>
                <w:color w:val="212529"/>
                <w:sz w:val="18"/>
              </w:rPr>
              <w:t>BR-10</w:t>
            </w:r>
          </w:p>
        </w:tc>
        <w:tc>
          <w:tcPr>
            <w:tcW w:type="dxa" w:w="2484"/>
            <w:shd w:fill="F4F7FA"/>
            <w:tcMar>
              <w:top w:w="70" w:type="dxa"/>
              <w:bottom w:w="70" w:type="dxa"/>
              <w:left w:w="120" w:type="dxa"/>
              <w:right w:w="120" w:type="dxa"/>
            </w:tcMar>
          </w:tcPr>
          <w:p>
            <w:pPr>
              <w:jc w:val="left"/>
            </w:pPr>
            <w:r>
              <w:rPr>
                <w:rFonts w:ascii="Calibri" w:hAnsi="Calibri"/>
                <w:color w:val="212529"/>
                <w:sz w:val="18"/>
              </w:rPr>
              <w:t>Dynamic Versioning</w:t>
            </w:r>
          </w:p>
        </w:tc>
        <w:tc>
          <w:tcPr>
            <w:tcW w:type="dxa" w:w="2484"/>
            <w:shd w:fill="F4F7FA"/>
            <w:tcMar>
              <w:top w:w="70" w:type="dxa"/>
              <w:bottom w:w="70" w:type="dxa"/>
              <w:left w:w="120" w:type="dxa"/>
              <w:right w:w="120" w:type="dxa"/>
            </w:tcMar>
          </w:tcPr>
          <w:p>
            <w:pPr>
              <w:jc w:val="left"/>
            </w:pPr>
            <w:r>
              <w:rPr>
                <w:rFonts w:ascii="Calibri" w:hAnsi="Calibri"/>
                <w:color w:val="212529"/>
                <w:sz w:val="18"/>
              </w:rPr>
              <w:t>Display running PE binary version across all UI screens from a single source of truth.</w:t>
            </w:r>
          </w:p>
        </w:tc>
        <w:tc>
          <w:tcPr>
            <w:tcW w:type="dxa" w:w="2484"/>
            <w:shd w:fill="F4F7FA"/>
            <w:tcMar>
              <w:top w:w="70" w:type="dxa"/>
              <w:bottom w:w="70" w:type="dxa"/>
              <w:left w:w="120" w:type="dxa"/>
              <w:right w:w="120" w:type="dxa"/>
            </w:tcMar>
          </w:tcPr>
          <w:p>
            <w:pPr>
              <w:jc w:val="left"/>
            </w:pPr>
            <w:r>
              <w:rPr>
                <w:rFonts w:ascii="Calibri" w:hAnsi="Calibri"/>
                <w:color w:val="212529"/>
                <w:sz w:val="18"/>
              </w:rPr>
              <w:t>High</w:t>
            </w:r>
          </w:p>
        </w:tc>
      </w:tr>
      <w:tr>
        <w:tc>
          <w:tcPr>
            <w:tcW w:type="dxa" w:w="2484"/>
            <w:tcMar>
              <w:top w:w="70" w:type="dxa"/>
              <w:bottom w:w="70" w:type="dxa"/>
              <w:left w:w="120" w:type="dxa"/>
              <w:right w:w="120" w:type="dxa"/>
            </w:tcMar>
          </w:tcPr>
          <w:p>
            <w:pPr>
              <w:jc w:val="left"/>
            </w:pPr>
            <w:r>
              <w:rPr>
                <w:rFonts w:ascii="Calibri" w:hAnsi="Calibri"/>
                <w:color w:val="212529"/>
                <w:sz w:val="18"/>
              </w:rPr>
              <w:t>BR-11</w:t>
            </w:r>
          </w:p>
        </w:tc>
        <w:tc>
          <w:tcPr>
            <w:tcW w:type="dxa" w:w="2484"/>
            <w:tcMar>
              <w:top w:w="70" w:type="dxa"/>
              <w:bottom w:w="70" w:type="dxa"/>
              <w:left w:w="120" w:type="dxa"/>
              <w:right w:w="120" w:type="dxa"/>
            </w:tcMar>
          </w:tcPr>
          <w:p>
            <w:pPr>
              <w:jc w:val="left"/>
            </w:pPr>
            <w:r>
              <w:rPr>
                <w:rFonts w:ascii="Calibri" w:hAnsi="Calibri"/>
                <w:color w:val="212529"/>
                <w:sz w:val="18"/>
              </w:rPr>
              <w:t>Auto-Update</w:t>
            </w:r>
          </w:p>
        </w:tc>
        <w:tc>
          <w:tcPr>
            <w:tcW w:type="dxa" w:w="2484"/>
            <w:tcMar>
              <w:top w:w="70" w:type="dxa"/>
              <w:bottom w:w="70" w:type="dxa"/>
              <w:left w:w="120" w:type="dxa"/>
              <w:right w:w="120" w:type="dxa"/>
            </w:tcMar>
          </w:tcPr>
          <w:p>
            <w:pPr>
              <w:jc w:val="left"/>
            </w:pPr>
            <w:r>
              <w:rPr>
                <w:rFonts w:ascii="Calibri" w:hAnsi="Calibri"/>
                <w:color w:val="212529"/>
                <w:sz w:val="18"/>
              </w:rPr>
              <w:t>Check for new releases, verify SHA-256 checksums, and execute silent detached updates.</w:t>
            </w:r>
          </w:p>
        </w:tc>
        <w:tc>
          <w:tcPr>
            <w:tcW w:type="dxa" w:w="2484"/>
            <w:tcMar>
              <w:top w:w="70" w:type="dxa"/>
              <w:bottom w:w="70" w:type="dxa"/>
              <w:left w:w="120" w:type="dxa"/>
              <w:right w:w="120" w:type="dxa"/>
            </w:tcMar>
          </w:tcPr>
          <w:p>
            <w:pPr>
              <w:jc w:val="left"/>
            </w:pPr>
            <w:r>
              <w:rPr>
                <w:rFonts w:ascii="Calibri" w:hAnsi="Calibri"/>
                <w:color w:val="212529"/>
                <w:sz w:val="18"/>
              </w:rPr>
              <w:t>High</w:t>
            </w:r>
          </w:p>
        </w:tc>
      </w:tr>
      <w:tr>
        <w:tc>
          <w:tcPr>
            <w:tcW w:type="dxa" w:w="2484"/>
            <w:shd w:fill="F4F7FA"/>
            <w:tcMar>
              <w:top w:w="70" w:type="dxa"/>
              <w:bottom w:w="70" w:type="dxa"/>
              <w:left w:w="120" w:type="dxa"/>
              <w:right w:w="120" w:type="dxa"/>
            </w:tcMar>
          </w:tcPr>
          <w:p>
            <w:pPr>
              <w:jc w:val="left"/>
            </w:pPr>
            <w:r>
              <w:rPr>
                <w:rFonts w:ascii="Calibri" w:hAnsi="Calibri"/>
                <w:color w:val="212529"/>
                <w:sz w:val="18"/>
              </w:rPr>
              <w:t>BR-12</w:t>
            </w:r>
          </w:p>
        </w:tc>
        <w:tc>
          <w:tcPr>
            <w:tcW w:type="dxa" w:w="2484"/>
            <w:shd w:fill="F4F7FA"/>
            <w:tcMar>
              <w:top w:w="70" w:type="dxa"/>
              <w:bottom w:w="70" w:type="dxa"/>
              <w:left w:w="120" w:type="dxa"/>
              <w:right w:w="120" w:type="dxa"/>
            </w:tcMar>
          </w:tcPr>
          <w:p>
            <w:pPr>
              <w:jc w:val="left"/>
            </w:pPr>
            <w:r>
              <w:rPr>
                <w:rFonts w:ascii="Calibri" w:hAnsi="Calibri"/>
                <w:color w:val="212529"/>
                <w:sz w:val="18"/>
              </w:rPr>
              <w:t>Dashboard Metrics</w:t>
            </w:r>
          </w:p>
        </w:tc>
        <w:tc>
          <w:tcPr>
            <w:tcW w:type="dxa" w:w="2484"/>
            <w:shd w:fill="F4F7FA"/>
            <w:tcMar>
              <w:top w:w="70" w:type="dxa"/>
              <w:bottom w:w="70" w:type="dxa"/>
              <w:left w:w="120" w:type="dxa"/>
              <w:right w:w="120" w:type="dxa"/>
            </w:tcMar>
          </w:tcPr>
          <w:p>
            <w:pPr>
              <w:jc w:val="left"/>
            </w:pPr>
            <w:r>
              <w:rPr>
                <w:rFonts w:ascii="Calibri" w:hAnsi="Calibri"/>
                <w:color w:val="212529"/>
                <w:sz w:val="18"/>
              </w:rPr>
              <w:t>Provide real-time dynamic 'Records Uploaded' counter and streamlined User/Device dialog.</w:t>
            </w:r>
          </w:p>
        </w:tc>
        <w:tc>
          <w:tcPr>
            <w:tcW w:type="dxa" w:w="2484"/>
            <w:shd w:fill="F4F7FA"/>
            <w:tcMar>
              <w:top w:w="70" w:type="dxa"/>
              <w:bottom w:w="70" w:type="dxa"/>
              <w:left w:w="120" w:type="dxa"/>
              <w:right w:w="120" w:type="dxa"/>
            </w:tcMar>
          </w:tcPr>
          <w:p>
            <w:pPr>
              <w:jc w:val="left"/>
            </w:pPr>
            <w:r>
              <w:rPr>
                <w:rFonts w:ascii="Calibri" w:hAnsi="Calibri"/>
                <w:color w:val="212529"/>
                <w:sz w:val="18"/>
              </w:rPr>
              <w:t>Medium</w:t>
            </w:r>
          </w:p>
        </w:tc>
      </w:tr>
    </w:tbl>
    <w:p>
      <w:pPr>
        <w:spacing w:before="40" w:after="80"/>
      </w:pPr>
    </w:p>
    <w:p>
      <w:pPr>
        <w:keepNext/>
        <w:spacing w:before="320" w:after="80"/>
      </w:pPr>
      <w:r>
        <w:rPr>
          <w:rFonts w:ascii="Calibri" w:hAnsi="Calibri"/>
          <w:b/>
          <w:color w:val="0E4B89"/>
          <w:sz w:val="28"/>
        </w:rPr>
        <w:t>5. End-to-End Business Process Flow</w:t>
      </w:r>
    </w:p>
    <w:p>
      <w:pPr>
        <w:spacing w:before="40" w:after="80" w:line="276" w:lineRule="auto"/>
      </w:pPr>
      <w:r>
        <w:rPr>
          <w:rFonts w:ascii="Calibri" w:hAnsi="Calibri"/>
          <w:color w:val="212529"/>
          <w:sz w:val="20"/>
        </w:rPr>
        <w:t>1. Company Verification: The user enters their corporate Company Code (e.g., 'INDO'). The client verifies this against the centralized App Controller (https://ihrms.indovision.in/app_controller/company_verify), obtains the tenant-specific API Base URL, locks the field with a green verification indicator, and caches the configuration.</w:t>
      </w:r>
    </w:p>
    <w:p>
      <w:pPr>
        <w:spacing w:before="40" w:after="80" w:line="276" w:lineRule="auto"/>
      </w:pPr>
      <w:r>
        <w:rPr>
          <w:rFonts w:ascii="Calibri" w:hAnsi="Calibri"/>
          <w:color w:val="212529"/>
          <w:sz w:val="20"/>
        </w:rPr>
        <w:t>2. Employee Authentication &amp; Enrollment: The user logs in with email/password. The client receives an employee profile and JWT token, automatically generates a SHA-256 hardware fingerprint from the local machine's BIOS/Motherboard UUID, and enrolls the device via /device/enroll to obtain a secure device token.</w:t>
      </w:r>
    </w:p>
    <w:p>
      <w:pPr>
        <w:spacing w:before="40" w:after="80" w:line="276" w:lineRule="auto"/>
      </w:pPr>
      <w:r>
        <w:rPr>
          <w:rFonts w:ascii="Calibri" w:hAnsi="Calibri"/>
          <w:color w:val="212529"/>
          <w:sz w:val="20"/>
        </w:rPr>
        <w:t>3. Continuous Monitoring &amp; Dynamic Sync: The client tracks window activity and captures screenshots. Records are buffered in SQLite and uploaded every sync_interval_seconds (default 30s). Upon server confirmation, uploaded local records and screenshot PNG files are cleaned up.</w:t>
      </w:r>
    </w:p>
    <w:p>
      <w:pPr>
        <w:spacing w:before="40" w:after="80" w:line="276" w:lineRule="auto"/>
      </w:pPr>
      <w:r>
        <w:rPr>
          <w:rFonts w:ascii="Calibri" w:hAnsi="Calibri"/>
          <w:color w:val="212529"/>
          <w:sz w:val="20"/>
        </w:rPr>
        <w:t>4. Auto-Update &amp; Maintenance: In the background, the agent checks /device/check_update. If a new version exists, it stages the installer in AppData and hands execution off to a detached updater batch script, restarting seamlessly.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