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Software Requirements Specification (SRS)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iHRMS Monitor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System Environment &amp; Target Specifications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Notes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Operating System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Microsoft Windows 10 (Build 19041+) / Windows 11 (64-bit)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Fully tested on standard and enterprise editions.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Runtime Environment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Python 3.10+ embedded with PySide6 (Qt 6.6+)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Compiled into standalone PE binary via PyInstaller.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CPU Utilization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&lt; 0.5% during background idle, &lt; 1.5% during active polling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Ultra-low impact on user workflow.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Memory Footprint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45 MB nominal, 75 MB peak during screenshot encoding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Memory aggressively freed after sync.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Disk Storage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SQLite 3 with Write-Ahead Logging (WAL) enabled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Located in %LOCALAPPDATA%\iHRMS Monitor\data\.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Network Protocols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HTTPS / TLS 1.2 / TLS 1.3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RESTful JSON and Multipart Form-Data.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Functional Requirements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Details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Company Resolution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POST company_code to /app_controller/company_verify, validate response, and set base_url in ApiConfig singleton.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FR-02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Authentication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POST credentials to /auth/login, parse access_token, and persist encrypted session via Windows DPAPI.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Device Enrollment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generate Hardware UUID via WMI/Win32 and POST to /device/enroll to obtain scoped device_token.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FR-04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Activity Capture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PlatformActivityProvider shall poll GetForegroundWindow every 1000ms and commit closed sessions to SQLite.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Idle State Engine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On idle detection (&gt;60s), preserve foreground app; on activity resumption, record idle_start_time, idle_end_time, idle_duration_seconds.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FR-06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Screenshot Engine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Capture desktop via mss/GDI, save to %LOCALAPPDATA%\iHRMS Monitor\screenshots\, and record metadata in SQLite.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Batch Sync Worker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SyncService shall batch up to 50 pending records to /tracking/sync_activities_batch every sync_interval_seconds.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FR-08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Verified Cleanup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Screenshots uploaded via /tracking/upload_screenshot shall be deleted from disk only upon verified HTTP 200 Success response.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Heartbeat &amp; Config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 /device/heartbeat every 60s; dynamically update sync_interval_seconds and idle_threshold_seconds in runtime.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FR-10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Dynamic Versioning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get_running_app_version() shall extract PE version info dynamically; UI elements shall bind to this single source of truth.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Auto-Update Pipeline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 /device/check_update, verify SHA-256 hash, stage installer, and launch detached silent_update.bat on approval/silent trigger.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FR-12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User/Device View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Clickable user banner shall launch User/Device modal displaying authenticated employee and hardware enrollment parameters.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3. Non-Functional Requirements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NFR-01 Cryptographic Storage: </w:t>
      </w:r>
      <w:r>
        <w:rPr>
          <w:rFonts w:ascii="Calibri" w:hAnsi="Calibri"/>
          <w:color w:val="212529"/>
          <w:sz w:val="20"/>
        </w:rPr>
        <w:t>Sensitive tokens and employee credentials stored on disk must be encrypted with DPAPI (CryptProtectData) scoped to the current Windows user.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NFR-02 Offline Resilience: </w:t>
      </w:r>
      <w:r>
        <w:rPr>
          <w:rFonts w:ascii="Calibri" w:hAnsi="Calibri"/>
          <w:color w:val="212529"/>
          <w:sz w:val="20"/>
        </w:rPr>
        <w:t>SQLite WAL mode must guarantee transactional integrity and prevent corruption during sudden power drops or OS crashes.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NFR-03 Multi-User Segregation: </w:t>
      </w:r>
      <w:r>
        <w:rPr>
          <w:rFonts w:ascii="Calibri" w:hAnsi="Calibri"/>
          <w:color w:val="212529"/>
          <w:sz w:val="20"/>
        </w:rPr>
        <w:t>All local database sync queries must be parameterized by employee_id to prevent data mixing on multi-user workstations.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NFR-04 Unobtrusive Operation: </w:t>
      </w:r>
      <w:r>
        <w:rPr>
          <w:rFonts w:ascii="Calibri" w:hAnsi="Calibri"/>
          <w:color w:val="212529"/>
          <w:sz w:val="20"/>
        </w:rPr>
        <w:t>The application must support minimized background execution in the Windows System Tray with balloon notifications.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