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D9488"/>
          <w:sz w:val="20"/>
        </w:rPr>
        <w:t>INDOVISION SERVICES PRIVATE LIMITED</w:t>
      </w:r>
    </w:p>
    <w:p>
      <w:pPr>
        <w:spacing w:before="0" w:after="80"/>
      </w:pPr>
      <w:r>
        <w:rPr>
          <w:rFonts w:ascii="Arial" w:hAnsi="Arial"/>
          <w:b/>
          <w:color w:val="0F2942"/>
          <w:sz w:val="36"/>
        </w:rPr>
        <w:t>Business Requirements Document (BRD)</w:t>
      </w:r>
    </w:p>
    <w:p>
      <w:pPr>
        <w:spacing w:before="0" w:after="120"/>
      </w:pPr>
      <w:r>
        <w:rPr>
          <w:rFonts w:ascii="Arial" w:hAnsi="Arial"/>
          <w:color w:val="64748B"/>
          <w:sz w:val="19"/>
        </w:rPr>
        <w:t>Project: iHRMS Desktop (Workpulse Client) | Application Version: 1.1 | Platforms: Windows 10/11 x64 &amp; macOS 11+ (Universal)</w:t>
      </w:r>
    </w:p>
    <w:p>
      <w:pPr>
        <w:spacing w:before="0" w:after="240"/>
      </w:pPr>
      <w:r>
        <w:rPr>
          <w:rFonts w:ascii="Arial" w:hAnsi="Arial"/>
          <w:color w:val="CBD5E1"/>
          <w:sz w:val="18"/>
        </w:rPr>
        <w:t>――――――――――――――――――――――――――――――――――――――――――――――――――――――――――</w:t>
      </w:r>
    </w:p>
    <w:p>
      <w:pPr>
        <w:spacing w:before="280" w:after="80"/>
      </w:pPr>
      <w:r>
        <w:rPr>
          <w:rFonts w:ascii="Arial" w:hAnsi="Arial"/>
          <w:b/>
          <w:color w:val="0F2942"/>
          <w:sz w:val="24"/>
        </w:rPr>
        <w:t>1. Executive Summary</w:t>
      </w:r>
    </w:p>
    <w:p>
      <w:pPr>
        <w:spacing w:before="0" w:after="120" w:line="276" w:lineRule="auto"/>
      </w:pPr>
      <w:r>
        <w:rPr>
          <w:rFonts w:ascii="Arial" w:hAnsi="Arial"/>
          <w:color w:val="334155"/>
          <w:sz w:val="19"/>
        </w:rPr>
        <w:t>iHRMS Desktop is an enterprise-grade desktop productivity monitoring, attendance verification, and timesheet management agent developed by Indovision Services Private Limited. Featuring the native Workpulse activity monitoring engine, iHRMS Desktop provides a unified, cross-platform client for Windows 10/11 x64 and macOS 11+ (Universal Apple Silicon &amp; Intel) built on Python 3.12 and PySide6 (Qt 6.7+). The application operates unobtrusively to measure active window focus, detect smart idle durations, coordinate attendance punch times, manage Key Result Area (KRA) timesheets, buffer offline telemetry in an ACID SQLite database, and execute seamless background self-updating.</w:t>
      </w:r>
    </w:p>
    <w:p>
      <w:pPr>
        <w:spacing w:before="280" w:after="80"/>
      </w:pPr>
      <w:r>
        <w:rPr>
          <w:rFonts w:ascii="Arial" w:hAnsi="Arial"/>
          <w:b/>
          <w:color w:val="0F2942"/>
          <w:sz w:val="24"/>
        </w:rPr>
        <w:t>2. Business Objectives &amp; Strategic Drivers</w:t>
      </w:r>
    </w:p>
    <w:p>
      <w:pPr>
        <w:pStyle w:val="ListBullet"/>
        <w:spacing w:before="0" w:after="80" w:line="276" w:lineRule="auto"/>
      </w:pPr>
      <w:r>
        <w:rPr>
          <w:rFonts w:ascii="Arial" w:hAnsi="Arial"/>
          <w:b/>
          <w:color w:val="2D3748"/>
          <w:sz w:val="19"/>
        </w:rPr>
        <w:t xml:space="preserve">Automated Productivity Tracking: </w:t>
      </w:r>
      <w:r>
        <w:rPr>
          <w:rFonts w:ascii="Arial" w:hAnsi="Arial"/>
          <w:color w:val="334155"/>
          <w:sz w:val="19"/>
        </w:rPr>
        <w:t>Provide automated, tamper-resilient recording of active application executables, window titles, and focus durations across employee workstations.</w:t>
      </w:r>
    </w:p>
    <w:p>
      <w:pPr>
        <w:pStyle w:val="ListBullet"/>
        <w:spacing w:before="0" w:after="80" w:line="276" w:lineRule="auto"/>
      </w:pPr>
      <w:r>
        <w:rPr>
          <w:rFonts w:ascii="Arial" w:hAnsi="Arial"/>
          <w:b/>
          <w:color w:val="2D3748"/>
          <w:sz w:val="19"/>
        </w:rPr>
        <w:t xml:space="preserve">Smart Inactivity Detection: </w:t>
      </w:r>
      <w:r>
        <w:rPr>
          <w:rFonts w:ascii="Arial" w:hAnsi="Arial"/>
          <w:color w:val="334155"/>
          <w:sz w:val="19"/>
        </w:rPr>
        <w:t>Accurately distinguish genuine active work from idle periods using hardware input event timers (Win32 GetLastInputInfo on Windows / CGEventSourceSecondsSinceLastEventType on macOS) without invasive surveillance.</w:t>
      </w:r>
    </w:p>
    <w:p>
      <w:pPr>
        <w:pStyle w:val="ListBullet"/>
        <w:spacing w:before="0" w:after="80" w:line="276" w:lineRule="auto"/>
      </w:pPr>
      <w:r>
        <w:rPr>
          <w:rFonts w:ascii="Arial" w:hAnsi="Arial"/>
          <w:b/>
          <w:color w:val="2D3748"/>
          <w:sz w:val="19"/>
        </w:rPr>
        <w:t xml:space="preserve">Unified Attendance &amp; HRMS Synchronization: </w:t>
      </w:r>
      <w:r>
        <w:rPr>
          <w:rFonts w:ascii="Arial" w:hAnsi="Arial"/>
          <w:color w:val="334155"/>
          <w:sz w:val="19"/>
        </w:rPr>
        <w:t>Eliminate attendance discrepancies by synchronizing biometric punch timestamps, monthly attendance calendars, and distinct green Missed Punch indicators directly into the desktop dashboard.</w:t>
      </w:r>
    </w:p>
    <w:p>
      <w:pPr>
        <w:pStyle w:val="ListBullet"/>
        <w:spacing w:before="0" w:after="80" w:line="276" w:lineRule="auto"/>
      </w:pPr>
      <w:r>
        <w:rPr>
          <w:rFonts w:ascii="Arial" w:hAnsi="Arial"/>
          <w:b/>
          <w:color w:val="2D3748"/>
          <w:sz w:val="19"/>
        </w:rPr>
        <w:t xml:space="preserve">Streamlined Timesheet PMS: </w:t>
      </w:r>
      <w:r>
        <w:rPr>
          <w:rFonts w:ascii="Arial" w:hAnsi="Arial"/>
          <w:color w:val="334155"/>
          <w:sz w:val="19"/>
        </w:rPr>
        <w:t>Enable employees to review daily Key Result Areas (KRAs), log task completion remarks, save drafts, and submit timesheets and additional tasks directly from the desktop client.</w:t>
      </w:r>
    </w:p>
    <w:p>
      <w:pPr>
        <w:pStyle w:val="ListBullet"/>
        <w:spacing w:before="0" w:after="80" w:line="276" w:lineRule="auto"/>
      </w:pPr>
      <w:r>
        <w:rPr>
          <w:rFonts w:ascii="Arial" w:hAnsi="Arial"/>
          <w:b/>
          <w:color w:val="2D3748"/>
          <w:sz w:val="19"/>
        </w:rPr>
        <w:t xml:space="preserve">Local-First Resilience &amp; Verified Cleanup: </w:t>
      </w:r>
      <w:r>
        <w:rPr>
          <w:rFonts w:ascii="Arial" w:hAnsi="Arial"/>
          <w:color w:val="334155"/>
          <w:sz w:val="19"/>
        </w:rPr>
        <w:t>Maintain full offline functionality during network outages via local SQLite storage with Write-Ahead Logging (WAL); purge local screenshot files only upon HTTP 200 server confirmation.</w:t>
      </w:r>
    </w:p>
    <w:p>
      <w:pPr>
        <w:pStyle w:val="ListBullet"/>
        <w:spacing w:before="0" w:after="80" w:line="276" w:lineRule="auto"/>
      </w:pPr>
      <w:r>
        <w:rPr>
          <w:rFonts w:ascii="Arial" w:hAnsi="Arial"/>
          <w:b/>
          <w:color w:val="2D3748"/>
          <w:sz w:val="19"/>
        </w:rPr>
        <w:t xml:space="preserve">Autonomous Maintenance &amp; Crash Recovery: </w:t>
      </w:r>
      <w:r>
        <w:rPr>
          <w:rFonts w:ascii="Arial" w:hAnsi="Arial"/>
          <w:color w:val="334155"/>
          <w:sz w:val="19"/>
        </w:rPr>
        <w:t>Ensure fleet-wide stability via silent auto-updates derived from App Controller API, transparent Windows watchdog supervision (iHRMS-Supervisor.exe + Task Scheduler), and native macOS launchd LaunchAgent recovery (KeepAlive).</w:t>
      </w:r>
    </w:p>
    <w:p>
      <w:pPr>
        <w:pStyle w:val="ListBullet"/>
        <w:spacing w:before="0" w:after="80" w:line="276" w:lineRule="auto"/>
      </w:pPr>
      <w:r>
        <w:rPr>
          <w:rFonts w:ascii="Arial" w:hAnsi="Arial"/>
          <w:b/>
          <w:color w:val="2D3748"/>
          <w:sz w:val="19"/>
        </w:rPr>
        <w:t xml:space="preserve">Hardware-Bound Session Security: </w:t>
      </w:r>
      <w:r>
        <w:rPr>
          <w:rFonts w:ascii="Arial" w:hAnsi="Arial"/>
          <w:color w:val="334155"/>
          <w:sz w:val="19"/>
        </w:rPr>
        <w:t>Persist authenticated sessions across ordinary restarts via Windows Credential Manager DPAPI and Apple macOS Keychain without repeated credential prompts.</w:t>
      </w:r>
    </w:p>
    <w:p>
      <w:pPr>
        <w:spacing w:before="280" w:after="80"/>
      </w:pPr>
      <w:r>
        <w:rPr>
          <w:rFonts w:ascii="Arial" w:hAnsi="Arial"/>
          <w:b/>
          <w:color w:val="0F2942"/>
          <w:sz w:val="24"/>
        </w:rPr>
        <w:t>3. Stakeholder Roles &amp; User Personas</w:t>
      </w:r>
    </w:p>
    <w:tbl>
      <w:tblPr>
        <w:tblW w:type="auto" w:w="0"/>
        <w:jc w:val="center"/>
        <w:tblLayout w:type="fixed"/>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2880"/>
        <w:gridCol w:w="2880"/>
        <w:gridCol w:w="2880"/>
      </w:tblGrid>
      <w:tr>
        <w:tc>
          <w:tcPr>
            <w:tcW w:type="dxa" w:w="2304"/>
            <w:shd w:fill="0F2942"/>
            <w:tcMar>
              <w:top w:w="140" w:type="dxa"/>
              <w:bottom w:w="140" w:type="dxa"/>
              <w:left w:w="160" w:type="dxa"/>
              <w:right w:w="160" w:type="dxa"/>
            </w:tcMar>
          </w:tcPr>
          <w:p>
            <w:pPr>
              <w:spacing w:before="0" w:after="0"/>
            </w:pPr>
            <w:r>
              <w:rPr>
                <w:rFonts w:ascii="Arial" w:hAnsi="Arial"/>
                <w:b/>
                <w:color w:val="FFFFFF"/>
                <w:sz w:val="19"/>
              </w:rPr>
              <w:t>Stakeholder / Role</w:t>
            </w:r>
          </w:p>
        </w:tc>
        <w:tc>
          <w:tcPr>
            <w:tcW w:type="dxa" w:w="3456"/>
            <w:shd w:fill="0F2942"/>
            <w:tcMar>
              <w:top w:w="140" w:type="dxa"/>
              <w:bottom w:w="140" w:type="dxa"/>
              <w:left w:w="160" w:type="dxa"/>
              <w:right w:w="160" w:type="dxa"/>
            </w:tcMar>
          </w:tcPr>
          <w:p>
            <w:pPr>
              <w:spacing w:before="0" w:after="0"/>
            </w:pPr>
            <w:r>
              <w:rPr>
                <w:rFonts w:ascii="Arial" w:hAnsi="Arial"/>
                <w:b/>
                <w:color w:val="FFFFFF"/>
                <w:sz w:val="19"/>
              </w:rPr>
              <w:t>Primary Responsibilities</w:t>
            </w:r>
          </w:p>
        </w:tc>
        <w:tc>
          <w:tcPr>
            <w:tcW w:type="dxa" w:w="3600"/>
            <w:shd w:fill="0F2942"/>
            <w:tcMar>
              <w:top w:w="140" w:type="dxa"/>
              <w:bottom w:w="140" w:type="dxa"/>
              <w:left w:w="160" w:type="dxa"/>
              <w:right w:w="160" w:type="dxa"/>
            </w:tcMar>
          </w:tcPr>
          <w:p>
            <w:pPr>
              <w:spacing w:before="0" w:after="0"/>
            </w:pPr>
            <w:r>
              <w:rPr>
                <w:rFonts w:ascii="Arial" w:hAnsi="Arial"/>
                <w:b/>
                <w:color w:val="FFFFFF"/>
                <w:sz w:val="19"/>
              </w:rPr>
              <w:t>Core System Requirements</w:t>
            </w:r>
          </w:p>
        </w:tc>
      </w:tr>
      <w:tr>
        <w:tc>
          <w:tcPr>
            <w:tcW w:type="dxa" w:w="2304"/>
            <w:shd w:fill="FFFFFF"/>
            <w:tcMar>
              <w:top w:w="100" w:type="dxa"/>
              <w:bottom w:w="100" w:type="dxa"/>
              <w:left w:w="140" w:type="dxa"/>
              <w:right w:w="140" w:type="dxa"/>
            </w:tcMar>
          </w:tcPr>
          <w:p>
            <w:pPr>
              <w:spacing w:before="0" w:after="0" w:line="276" w:lineRule="auto"/>
            </w:pPr>
            <w:r>
              <w:rPr>
                <w:rFonts w:ascii="Arial" w:hAnsi="Arial"/>
                <w:color w:val="2D3748"/>
                <w:sz w:val="18"/>
              </w:rPr>
              <w:t>Employee / User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2D3748"/>
                <w:sz w:val="18"/>
              </w:rPr>
              <w:t>Perform daily tasks, review logged focus time, verify punch status, submit KRA timesheets and additional tasks.</w:t>
            </w:r>
          </w:p>
        </w:tc>
        <w:tc>
          <w:tcPr>
            <w:tcW w:type="dxa" w:w="3600"/>
            <w:shd w:fill="FFFFFF"/>
            <w:tcMar>
              <w:top w:w="100" w:type="dxa"/>
              <w:bottom w:w="100" w:type="dxa"/>
              <w:left w:w="140" w:type="dxa"/>
              <w:right w:w="140" w:type="dxa"/>
            </w:tcMar>
          </w:tcPr>
          <w:p>
            <w:pPr>
              <w:spacing w:before="0" w:after="0" w:line="276" w:lineRule="auto"/>
            </w:pPr>
            <w:r>
              <w:rPr>
                <w:rFonts w:ascii="Arial" w:hAnsi="Arial"/>
                <w:color w:val="2D3748"/>
                <w:sz w:val="18"/>
              </w:rPr>
              <w:t>Clean UI, transparent tracking status, accurate attendance display, seamless HRMS Web Portal SSO access.</w:t>
            </w:r>
          </w:p>
        </w:tc>
      </w:tr>
      <w:tr>
        <w:tc>
          <w:tcPr>
            <w:tcW w:type="dxa" w:w="2304"/>
            <w:shd w:fill="F8FAFC"/>
            <w:tcMar>
              <w:top w:w="100" w:type="dxa"/>
              <w:bottom w:w="100" w:type="dxa"/>
              <w:left w:w="140" w:type="dxa"/>
              <w:right w:w="140" w:type="dxa"/>
            </w:tcMar>
          </w:tcPr>
          <w:p>
            <w:pPr>
              <w:spacing w:before="0" w:after="0" w:line="276" w:lineRule="auto"/>
            </w:pPr>
            <w:r>
              <w:rPr>
                <w:rFonts w:ascii="Arial" w:hAnsi="Arial"/>
                <w:color w:val="2D3748"/>
                <w:sz w:val="18"/>
              </w:rPr>
              <w:t>HR / Operations Manager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2D3748"/>
                <w:sz w:val="18"/>
              </w:rPr>
              <w:t>Monitor workforce attendance compliance, review daily timesheet submissions, approve leave quotas.</w:t>
            </w:r>
          </w:p>
        </w:tc>
        <w:tc>
          <w:tcPr>
            <w:tcW w:type="dxa" w:w="3600"/>
            <w:shd w:fill="F8FAFC"/>
            <w:tcMar>
              <w:top w:w="100" w:type="dxa"/>
              <w:bottom w:w="100" w:type="dxa"/>
              <w:left w:w="140" w:type="dxa"/>
              <w:right w:w="140" w:type="dxa"/>
            </w:tcMar>
          </w:tcPr>
          <w:p>
            <w:pPr>
              <w:spacing w:before="0" w:after="0" w:line="276" w:lineRule="auto"/>
            </w:pPr>
            <w:r>
              <w:rPr>
                <w:rFonts w:ascii="Arial" w:hAnsi="Arial"/>
                <w:color w:val="2D3748"/>
                <w:sz w:val="18"/>
              </w:rPr>
              <w:t>Accurate punch timestamps, verified activity batches, reliable leave balance visibility, audit-ready data.</w:t>
            </w:r>
          </w:p>
        </w:tc>
      </w:tr>
      <w:tr>
        <w:tc>
          <w:tcPr>
            <w:tcW w:type="dxa" w:w="2304"/>
            <w:shd w:fill="FFFFFF"/>
            <w:tcMar>
              <w:top w:w="100" w:type="dxa"/>
              <w:bottom w:w="100" w:type="dxa"/>
              <w:left w:w="140" w:type="dxa"/>
              <w:right w:w="140" w:type="dxa"/>
            </w:tcMar>
          </w:tcPr>
          <w:p>
            <w:pPr>
              <w:spacing w:before="0" w:after="0" w:line="276" w:lineRule="auto"/>
            </w:pPr>
            <w:r>
              <w:rPr>
                <w:rFonts w:ascii="Arial" w:hAnsi="Arial"/>
                <w:color w:val="2D3748"/>
                <w:sz w:val="18"/>
              </w:rPr>
              <w:t>IT 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2D3748"/>
                <w:sz w:val="18"/>
              </w:rPr>
              <w:t>Deploy and maintain client fleet, manage silent updates, ensure endpoint security, audit process lifecycle.</w:t>
            </w:r>
          </w:p>
        </w:tc>
        <w:tc>
          <w:tcPr>
            <w:tcW w:type="dxa" w:w="3600"/>
            <w:shd w:fill="FFFFFF"/>
            <w:tcMar>
              <w:top w:w="100" w:type="dxa"/>
              <w:bottom w:w="100" w:type="dxa"/>
              <w:left w:w="140" w:type="dxa"/>
              <w:right w:w="140" w:type="dxa"/>
            </w:tcMar>
          </w:tcPr>
          <w:p>
            <w:pPr>
              <w:spacing w:before="0" w:after="0" w:line="276" w:lineRule="auto"/>
            </w:pPr>
            <w:r>
              <w:rPr>
                <w:rFonts w:ascii="Arial" w:hAnsi="Arial"/>
                <w:color w:val="2D3748"/>
                <w:sz w:val="18"/>
              </w:rPr>
              <w:t>Silent Inno Setup / DMG deployment, low CPU/RAM overhead (&lt;85 MB RAM, &lt;1% CPU), secure TLS 1.2+ communication, auto-update loop prevention.</w:t>
            </w:r>
          </w:p>
        </w:tc>
      </w:tr>
      <w:tr>
        <w:tc>
          <w:tcPr>
            <w:tcW w:type="dxa" w:w="2304"/>
            <w:shd w:fill="F8FAFC"/>
            <w:tcMar>
              <w:top w:w="100" w:type="dxa"/>
              <w:bottom w:w="100" w:type="dxa"/>
              <w:left w:w="140" w:type="dxa"/>
              <w:right w:w="140" w:type="dxa"/>
            </w:tcMar>
          </w:tcPr>
          <w:p>
            <w:pPr>
              <w:spacing w:before="0" w:after="0" w:line="276" w:lineRule="auto"/>
            </w:pPr>
            <w:r>
              <w:rPr>
                <w:rFonts w:ascii="Arial" w:hAnsi="Arial"/>
                <w:color w:val="2D3748"/>
                <w:sz w:val="18"/>
              </w:rPr>
              <w:t>Executive Leadership</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2D3748"/>
                <w:sz w:val="18"/>
              </w:rPr>
              <w:t>Analyze department productivity trends, system utilization, and workforce performance across remote/hybrid teams.</w:t>
            </w:r>
          </w:p>
        </w:tc>
        <w:tc>
          <w:tcPr>
            <w:tcW w:type="dxa" w:w="3600"/>
            <w:shd w:fill="F8FAFC"/>
            <w:tcMar>
              <w:top w:w="100" w:type="dxa"/>
              <w:bottom w:w="100" w:type="dxa"/>
              <w:left w:w="140" w:type="dxa"/>
              <w:right w:w="140" w:type="dxa"/>
            </w:tcMar>
          </w:tcPr>
          <w:p>
            <w:pPr>
              <w:spacing w:before="0" w:after="0" w:line="276" w:lineRule="auto"/>
            </w:pPr>
            <w:r>
              <w:rPr>
                <w:rFonts w:ascii="Arial" w:hAnsi="Arial"/>
                <w:color w:val="2D3748"/>
                <w:sz w:val="18"/>
              </w:rPr>
              <w:t>Consolidated cloud analytics, high telemetry accuracy, robust data retention, international privacy compliance.</w:t>
            </w:r>
          </w:p>
        </w:tc>
      </w:tr>
    </w:tbl>
    <w:p>
      <w:pPr>
        <w:spacing w:after="120"/>
      </w:pPr>
    </w:p>
    <w:p>
      <w:pPr>
        <w:spacing w:before="280" w:after="80"/>
      </w:pPr>
      <w:r>
        <w:rPr>
          <w:rFonts w:ascii="Arial" w:hAnsi="Arial"/>
          <w:b/>
          <w:color w:val="0F2942"/>
          <w:sz w:val="24"/>
        </w:rPr>
        <w:t>4. Scope &amp; Feature Capabilities</w:t>
      </w:r>
    </w:p>
    <w:p>
      <w:pPr>
        <w:spacing w:before="200" w:after="60"/>
      </w:pPr>
      <w:r>
        <w:rPr>
          <w:rFonts w:ascii="Arial" w:hAnsi="Arial"/>
          <w:b/>
          <w:color w:val="0F2942"/>
          <w:sz w:val="21"/>
        </w:rPr>
        <w:t>4.1 Core In-Scope Capabilities</w:t>
      </w:r>
    </w:p>
    <w:p>
      <w:pPr>
        <w:pStyle w:val="ListBullet"/>
        <w:spacing w:before="0" w:after="80" w:line="276" w:lineRule="auto"/>
      </w:pPr>
      <w:r>
        <w:rPr>
          <w:rFonts w:ascii="Arial" w:hAnsi="Arial"/>
          <w:b/>
          <w:color w:val="2D3748"/>
          <w:sz w:val="19"/>
        </w:rPr>
        <w:t xml:space="preserve">Multi-Tenant Bootstrap: </w:t>
      </w:r>
      <w:r>
        <w:rPr>
          <w:rFonts w:ascii="Arial" w:hAnsi="Arial"/>
          <w:color w:val="334155"/>
          <w:sz w:val="19"/>
        </w:rPr>
        <w:t>Dynamic company verification and tenant configuration via App Controller (POST /appcontroller/appcontroller). Guarantees strictly empty form fields on fresh installation.</w:t>
      </w:r>
    </w:p>
    <w:p>
      <w:pPr>
        <w:pStyle w:val="ListBullet"/>
        <w:spacing w:before="0" w:after="80" w:line="276" w:lineRule="auto"/>
      </w:pPr>
      <w:r>
        <w:rPr>
          <w:rFonts w:ascii="Arial" w:hAnsi="Arial"/>
          <w:b/>
          <w:color w:val="2D3748"/>
          <w:sz w:val="19"/>
        </w:rPr>
        <w:t xml:space="preserve">Two-Step Authentication &amp; Device Enrollment: </w:t>
      </w:r>
      <w:r>
        <w:rPr>
          <w:rFonts w:ascii="Arial" w:hAnsi="Arial"/>
          <w:color w:val="334155"/>
          <w:sz w:val="19"/>
        </w:rPr>
        <w:t>Company code verification checkmark and field lock, employee credential login (POST /login/login), and workstation enrollment (POST /workpulse/enroll_device).</w:t>
      </w:r>
    </w:p>
    <w:p>
      <w:pPr>
        <w:pStyle w:val="ListBullet"/>
        <w:spacing w:before="0" w:after="80" w:line="276" w:lineRule="auto"/>
      </w:pPr>
      <w:r>
        <w:rPr>
          <w:rFonts w:ascii="Arial" w:hAnsi="Arial"/>
          <w:b/>
          <w:color w:val="2D3748"/>
          <w:sz w:val="19"/>
        </w:rPr>
        <w:t xml:space="preserve">Activity Focus State Engine: </w:t>
      </w:r>
      <w:r>
        <w:rPr>
          <w:rFonts w:ascii="Arial" w:hAnsi="Arial"/>
          <w:color w:val="334155"/>
          <w:sz w:val="19"/>
        </w:rPr>
        <w:t>Active foreground window title and process ID monitoring with context-preserving idle detection, 1000ms polling worker, and midnight active time auto-rollover.</w:t>
      </w:r>
    </w:p>
    <w:p>
      <w:pPr>
        <w:pStyle w:val="ListBullet"/>
        <w:spacing w:before="0" w:after="80" w:line="276" w:lineRule="auto"/>
      </w:pPr>
      <w:r>
        <w:rPr>
          <w:rFonts w:ascii="Arial" w:hAnsi="Arial"/>
          <w:b/>
          <w:color w:val="2D3748"/>
          <w:sz w:val="19"/>
        </w:rPr>
        <w:t xml:space="preserve">Transactional Batch Sync: </w:t>
      </w:r>
      <w:r>
        <w:rPr>
          <w:rFonts w:ascii="Arial" w:hAnsi="Arial"/>
          <w:color w:val="334155"/>
          <w:sz w:val="19"/>
        </w:rPr>
        <w:t>Local ACID SQLite database with automatic transactional batch syncing (POST /workpulse/save_activity_batch) uploading up to 100 records per batch.</w:t>
      </w:r>
    </w:p>
    <w:p>
      <w:pPr>
        <w:pStyle w:val="ListBullet"/>
        <w:spacing w:before="0" w:after="80" w:line="276" w:lineRule="auto"/>
      </w:pPr>
      <w:r>
        <w:rPr>
          <w:rFonts w:ascii="Arial" w:hAnsi="Arial"/>
          <w:b/>
          <w:color w:val="2D3748"/>
          <w:sz w:val="19"/>
        </w:rPr>
        <w:t xml:space="preserve">Screenshot Management: </w:t>
      </w:r>
      <w:r>
        <w:rPr>
          <w:rFonts w:ascii="Arial" w:hAnsi="Arial"/>
          <w:color w:val="334155"/>
          <w:sz w:val="19"/>
        </w:rPr>
        <w:t>Periodic JPEG desktop screen capture (Quality 75) with offline queuing, upload via POST /workpulse/upload_screenshot, and macOS Screen Recording permission management.</w:t>
      </w:r>
    </w:p>
    <w:p>
      <w:pPr>
        <w:pStyle w:val="ListBullet"/>
        <w:spacing w:before="0" w:after="80" w:line="276" w:lineRule="auto"/>
      </w:pPr>
      <w:r>
        <w:rPr>
          <w:rFonts w:ascii="Arial" w:hAnsi="Arial"/>
          <w:b/>
          <w:color w:val="2D3748"/>
          <w:sz w:val="19"/>
        </w:rPr>
        <w:t xml:space="preserve">Diagnostic Error Reporting: </w:t>
      </w:r>
      <w:r>
        <w:rPr>
          <w:rFonts w:ascii="Arial" w:hAnsi="Arial"/>
          <w:color w:val="334155"/>
          <w:sz w:val="19"/>
        </w:rPr>
        <w:t>Centralized error logging via POST /workpulse/report_error capturing unhandled exceptions across main and background threads.</w:t>
      </w:r>
    </w:p>
    <w:p>
      <w:pPr>
        <w:pStyle w:val="ListBullet"/>
        <w:spacing w:before="0" w:after="80" w:line="276" w:lineRule="auto"/>
      </w:pPr>
      <w:r>
        <w:rPr>
          <w:rFonts w:ascii="Arial" w:hAnsi="Arial"/>
          <w:b/>
          <w:color w:val="2D3748"/>
          <w:sz w:val="19"/>
        </w:rPr>
        <w:t xml:space="preserve">System Health Telemetry: </w:t>
      </w:r>
      <w:r>
        <w:rPr>
          <w:rFonts w:ascii="Arial" w:hAnsi="Arial"/>
          <w:color w:val="334155"/>
          <w:sz w:val="19"/>
        </w:rPr>
        <w:t>Continuous 60-second sampling of CPU, RAM, Disk, Battery, and Network metrics with integer-rounded payloads.</w:t>
      </w:r>
    </w:p>
    <w:p>
      <w:pPr>
        <w:pStyle w:val="ListBullet"/>
        <w:spacing w:before="0" w:after="80" w:line="276" w:lineRule="auto"/>
      </w:pPr>
      <w:r>
        <w:rPr>
          <w:rFonts w:ascii="Arial" w:hAnsi="Arial"/>
          <w:b/>
          <w:color w:val="2D3748"/>
          <w:sz w:val="19"/>
        </w:rPr>
        <w:t xml:space="preserve">Attendance &amp; Leave Portal: </w:t>
      </w:r>
      <w:r>
        <w:rPr>
          <w:rFonts w:ascii="Arial" w:hAnsi="Arial"/>
          <w:color w:val="334155"/>
          <w:sz w:val="19"/>
        </w:rPr>
        <w:t>Interactive monthly attendance grid (POST /attendance/get_attendance_record), punch time card (POST /punch/get_punch_time), and dynamic leave quota modal (POST /LeaveApply/view_balance).</w:t>
      </w:r>
    </w:p>
    <w:p>
      <w:pPr>
        <w:pStyle w:val="ListBullet"/>
        <w:spacing w:before="0" w:after="80" w:line="276" w:lineRule="auto"/>
      </w:pPr>
      <w:r>
        <w:rPr>
          <w:rFonts w:ascii="Arial" w:hAnsi="Arial"/>
          <w:b/>
          <w:color w:val="2D3748"/>
          <w:sz w:val="19"/>
        </w:rPr>
        <w:t xml:space="preserve">Task PMS &amp; Timesheets: </w:t>
      </w:r>
      <w:r>
        <w:rPr>
          <w:rFonts w:ascii="Arial" w:hAnsi="Arial"/>
          <w:color w:val="334155"/>
          <w:sz w:val="19"/>
        </w:rPr>
        <w:t>Interactive KRA timesheet table with draft save, additional task logging, and final submission (POST /TaskPMS/fill_time_sheet, POST /TaskPMS/save_additional_task).</w:t>
      </w:r>
    </w:p>
    <w:p>
      <w:pPr>
        <w:pStyle w:val="ListBullet"/>
        <w:spacing w:before="0" w:after="80" w:line="276" w:lineRule="auto"/>
      </w:pPr>
      <w:r>
        <w:rPr>
          <w:rFonts w:ascii="Arial" w:hAnsi="Arial"/>
          <w:b/>
          <w:color w:val="2D3748"/>
          <w:sz w:val="19"/>
        </w:rPr>
        <w:t xml:space="preserve">HRMS Portal SSO: </w:t>
      </w:r>
      <w:r>
        <w:rPr>
          <w:rFonts w:ascii="Arial" w:hAnsi="Arial"/>
          <w:color w:val="334155"/>
          <w:sz w:val="19"/>
        </w:rPr>
        <w:t>One-click single sign-on bridge launching the tenant HRMS Web Portal in default browser with ephemeral, secure credential passing.</w:t>
      </w:r>
    </w:p>
    <w:p>
      <w:pPr>
        <w:pStyle w:val="ListBullet"/>
        <w:spacing w:before="0" w:after="80" w:line="276" w:lineRule="auto"/>
      </w:pPr>
      <w:r>
        <w:rPr>
          <w:rFonts w:ascii="Arial" w:hAnsi="Arial"/>
          <w:b/>
          <w:color w:val="2D3748"/>
          <w:sz w:val="19"/>
        </w:rPr>
        <w:t xml:space="preserve">Authoritative Auto-Updates: </w:t>
      </w:r>
      <w:r>
        <w:rPr>
          <w:rFonts w:ascii="Arial" w:hAnsi="Arial"/>
          <w:color w:val="334155"/>
          <w:sz w:val="19"/>
        </w:rPr>
        <w:t>Platform-specific version checking via App Controller (apps.WINDOWS / apps.MAC), binary validation (MZ/PE and DMG koly), detached silent execution, and 24h loop cooldown guard.</w:t>
      </w:r>
    </w:p>
    <w:p>
      <w:pPr>
        <w:pStyle w:val="ListBullet"/>
        <w:spacing w:before="0" w:after="80" w:line="276" w:lineRule="auto"/>
      </w:pPr>
      <w:r>
        <w:rPr>
          <w:rFonts w:ascii="Arial" w:hAnsi="Arial"/>
          <w:b/>
          <w:color w:val="2D3748"/>
          <w:sz w:val="19"/>
        </w:rPr>
        <w:t xml:space="preserve">Process Termination &amp; Startup Recovery: </w:t>
      </w:r>
      <w:r>
        <w:rPr>
          <w:rFonts w:ascii="Arial" w:hAnsi="Arial"/>
          <w:color w:val="334155"/>
          <w:sz w:val="19"/>
        </w:rPr>
        <w:t>Windows detached supervisor (iHRMS-Supervisor.exe) and Task Scheduler watchdog; macOS launchd LaunchAgent with KeepAlive; single-instance lock clearance.</w:t>
      </w:r>
    </w:p>
    <w:p>
      <w:pPr>
        <w:pStyle w:val="ListBullet"/>
        <w:spacing w:before="0" w:after="80" w:line="276" w:lineRule="auto"/>
      </w:pPr>
      <w:r>
        <w:rPr>
          <w:rFonts w:ascii="Arial" w:hAnsi="Arial"/>
          <w:b/>
          <w:color w:val="2D3748"/>
          <w:sz w:val="19"/>
        </w:rPr>
        <w:t xml:space="preserve">True Uninstallation Reporting: </w:t>
      </w:r>
      <w:r>
        <w:rPr>
          <w:rFonts w:ascii="Arial" w:hAnsi="Arial"/>
          <w:color w:val="334155"/>
          <w:sz w:val="19"/>
        </w:rPr>
        <w:t>Isolated uninstaller lifecycle detection (services/uninstall_reporter.py) with offline scheduled task delivery.</w:t>
      </w:r>
    </w:p>
    <w:p>
      <w:pPr>
        <w:spacing w:before="200" w:after="60"/>
      </w:pPr>
      <w:r>
        <w:rPr>
          <w:rFonts w:ascii="Arial" w:hAnsi="Arial"/>
          <w:b/>
          <w:color w:val="0F2942"/>
          <w:sz w:val="21"/>
        </w:rPr>
        <w:t>4.2 Out-of-Scope Capabilities (Privacy Safeguards)</w:t>
      </w:r>
    </w:p>
    <w:p>
      <w:pPr>
        <w:spacing w:before="0" w:after="120" w:line="276" w:lineRule="auto"/>
      </w:pPr>
      <w:r>
        <w:rPr>
          <w:rFonts w:ascii="Arial" w:hAnsi="Arial"/>
          <w:color w:val="334155"/>
          <w:sz w:val="19"/>
        </w:rPr>
        <w:t>To ensure strict compliance with global privacy standards, iHRMS Desktop explicitly does NOT implement keystroke logging, clipboard inspection, browser history scraping, unauthorized webcam/audio recording, or arbitrary background file tampering.</w:t>
      </w:r>
    </w:p>
    <w:p>
      <w:pPr>
        <w:spacing w:before="280" w:after="80"/>
      </w:pPr>
      <w:r>
        <w:rPr>
          <w:rFonts w:ascii="Arial" w:hAnsi="Arial"/>
          <w:b/>
          <w:color w:val="0F2942"/>
          <w:sz w:val="24"/>
        </w:rPr>
        <w:t>5. Business Constraints &amp; Acceptance Criteria</w:t>
      </w:r>
    </w:p>
    <w:tbl>
      <w:tblPr>
        <w:tblW w:type="auto" w:w="0"/>
        <w:jc w:val="center"/>
        <w:tblLayout w:type="fixed"/>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2880"/>
        <w:gridCol w:w="2880"/>
        <w:gridCol w:w="2880"/>
      </w:tblGrid>
      <w:tr>
        <w:tc>
          <w:tcPr>
            <w:tcW w:type="dxa" w:w="2160"/>
            <w:shd w:fill="0F2942"/>
            <w:tcMar>
              <w:top w:w="140" w:type="dxa"/>
              <w:bottom w:w="140" w:type="dxa"/>
              <w:left w:w="160" w:type="dxa"/>
              <w:right w:w="160" w:type="dxa"/>
            </w:tcMar>
          </w:tcPr>
          <w:p>
            <w:pPr>
              <w:spacing w:before="0" w:after="0"/>
            </w:pPr>
            <w:r>
              <w:rPr>
                <w:rFonts w:ascii="Arial" w:hAnsi="Arial"/>
                <w:b/>
                <w:color w:val="FFFFFF"/>
                <w:sz w:val="19"/>
              </w:rPr>
              <w:t>Requirement ID</w:t>
            </w:r>
          </w:p>
        </w:tc>
        <w:tc>
          <w:tcPr>
            <w:tcW w:type="dxa" w:w="4608"/>
            <w:shd w:fill="0F2942"/>
            <w:tcMar>
              <w:top w:w="140" w:type="dxa"/>
              <w:bottom w:w="140" w:type="dxa"/>
              <w:left w:w="160" w:type="dxa"/>
              <w:right w:w="160" w:type="dxa"/>
            </w:tcMar>
          </w:tcPr>
          <w:p>
            <w:pPr>
              <w:spacing w:before="0" w:after="0"/>
            </w:pPr>
            <w:r>
              <w:rPr>
                <w:rFonts w:ascii="Arial" w:hAnsi="Arial"/>
                <w:b/>
                <w:color w:val="FFFFFF"/>
                <w:sz w:val="19"/>
              </w:rPr>
              <w:t>Business Criterion</w:t>
            </w:r>
          </w:p>
        </w:tc>
        <w:tc>
          <w:tcPr>
            <w:tcW w:type="dxa" w:w="2592"/>
            <w:shd w:fill="0F2942"/>
            <w:tcMar>
              <w:top w:w="140" w:type="dxa"/>
              <w:bottom w:w="140" w:type="dxa"/>
              <w:left w:w="160" w:type="dxa"/>
              <w:right w:w="160" w:type="dxa"/>
            </w:tcMar>
          </w:tcPr>
          <w:p>
            <w:pPr>
              <w:spacing w:before="0" w:after="0"/>
            </w:pPr>
            <w:r>
              <w:rPr>
                <w:rFonts w:ascii="Arial" w:hAnsi="Arial"/>
                <w:b/>
                <w:color w:val="FFFFFF"/>
                <w:sz w:val="19"/>
              </w:rPr>
              <w:t>Verification Method</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BRD-01</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Memory footprint must remain under 85 MB RAM and CPU usage &lt; 1.0% during steady-state tracking.</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Process telemetry profiling on Windows and macOS benchmark runners.</w:t>
            </w:r>
          </w:p>
        </w:tc>
      </w:tr>
      <w:tr>
        <w:tc>
          <w:tcPr>
            <w:tcW w:type="dxa" w:w="2160"/>
            <w:shd w:fill="F8FAFC"/>
            <w:tcMar>
              <w:top w:w="100" w:type="dxa"/>
              <w:bottom w:w="100" w:type="dxa"/>
              <w:left w:w="140" w:type="dxa"/>
              <w:right w:w="140" w:type="dxa"/>
            </w:tcMar>
          </w:tcPr>
          <w:p>
            <w:pPr>
              <w:spacing w:before="0" w:after="0" w:line="276" w:lineRule="auto"/>
            </w:pPr>
            <w:r>
              <w:rPr>
                <w:rFonts w:ascii="Arial" w:hAnsi="Arial"/>
                <w:b/>
                <w:color w:val="2D3748"/>
                <w:sz w:val="18"/>
              </w:rPr>
              <w:t>BRD-02</w:t>
            </w:r>
          </w:p>
        </w:tc>
        <w:tc>
          <w:tcPr>
            <w:tcW w:type="dxa" w:w="4608"/>
            <w:shd w:fill="F8FAFC"/>
            <w:tcMar>
              <w:top w:w="100" w:type="dxa"/>
              <w:bottom w:w="100" w:type="dxa"/>
              <w:left w:w="140" w:type="dxa"/>
              <w:right w:w="140" w:type="dxa"/>
            </w:tcMar>
          </w:tcPr>
          <w:p>
            <w:pPr>
              <w:spacing w:before="0" w:after="0" w:line="276" w:lineRule="auto"/>
            </w:pPr>
            <w:r>
              <w:rPr>
                <w:rFonts w:ascii="Arial" w:hAnsi="Arial"/>
                <w:color w:val="2D3748"/>
                <w:sz w:val="18"/>
              </w:rPr>
              <w:t>Zero data loss during unexpected network disconnects, app crashes, or operating system restarts.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2D3748"/>
                <w:sz w:val="18"/>
              </w:rPr>
              <w:t>Local SQLite transaction rollback, WAL validation, and automated offline queue sync tests.</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BRD-03</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Auto-update target version and package URLs must strictly match live App Controller API response.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Live API integration tests, PE/DMG signature validation, and semantic version precedence unit tests.</w:t>
            </w:r>
          </w:p>
        </w:tc>
      </w:tr>
      <w:tr>
        <w:tc>
          <w:tcPr>
            <w:tcW w:type="dxa" w:w="2160"/>
            <w:shd w:fill="F8FAFC"/>
            <w:tcMar>
              <w:top w:w="100" w:type="dxa"/>
              <w:bottom w:w="100" w:type="dxa"/>
              <w:left w:w="140" w:type="dxa"/>
              <w:right w:w="140" w:type="dxa"/>
            </w:tcMar>
          </w:tcPr>
          <w:p>
            <w:pPr>
              <w:spacing w:before="0" w:after="0" w:line="276" w:lineRule="auto"/>
            </w:pPr>
            <w:r>
              <w:rPr>
                <w:rFonts w:ascii="Arial" w:hAnsi="Arial"/>
                <w:b/>
                <w:color w:val="2D3748"/>
                <w:sz w:val="18"/>
              </w:rPr>
              <w:t>BRD-04</w:t>
            </w:r>
          </w:p>
        </w:tc>
        <w:tc>
          <w:tcPr>
            <w:tcW w:type="dxa" w:w="4608"/>
            <w:shd w:fill="F8FAFC"/>
            <w:tcMar>
              <w:top w:w="100" w:type="dxa"/>
              <w:bottom w:w="100" w:type="dxa"/>
              <w:left w:w="140" w:type="dxa"/>
              <w:right w:w="140" w:type="dxa"/>
            </w:tcMar>
          </w:tcPr>
          <w:p>
            <w:pPr>
              <w:spacing w:before="0" w:after="0" w:line="276" w:lineRule="auto"/>
            </w:pPr>
            <w:r>
              <w:rPr>
                <w:rFonts w:ascii="Arial" w:hAnsi="Arial"/>
                <w:color w:val="2D3748"/>
                <w:sz w:val="18"/>
              </w:rPr>
              <w:t>Full regression test pass rate required prior to release artifact packaging across all functional domains.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2D3748"/>
                <w:sz w:val="18"/>
              </w:rPr>
              <w:t>GitHub Actions CI execution of 576 automated unit and integration tests (100% pass rate).</w:t>
            </w:r>
          </w:p>
        </w:tc>
      </w:tr>
      <w:tr>
        <w:tc>
          <w:tcPr>
            <w:tcW w:type="dxa" w:w="2160"/>
            <w:shd w:fill="FFFFFF"/>
            <w:tcMar>
              <w:top w:w="100" w:type="dxa"/>
              <w:bottom w:w="100" w:type="dxa"/>
              <w:left w:w="140" w:type="dxa"/>
              <w:right w:w="140" w:type="dxa"/>
            </w:tcMar>
          </w:tcPr>
          <w:p>
            <w:pPr>
              <w:spacing w:before="0" w:after="0" w:line="276" w:lineRule="auto"/>
            </w:pPr>
            <w:r>
              <w:rPr>
                <w:rFonts w:ascii="Arial" w:hAnsi="Arial"/>
                <w:b/>
                <w:color w:val="2D3748"/>
                <w:sz w:val="18"/>
              </w:rPr>
              <w:t>BRD-05</w:t>
            </w:r>
          </w:p>
        </w:tc>
        <w:tc>
          <w:tcPr>
            <w:tcW w:type="dxa" w:w="4608"/>
            <w:shd w:fill="FFFFFF"/>
            <w:tcMar>
              <w:top w:w="100" w:type="dxa"/>
              <w:bottom w:w="100" w:type="dxa"/>
              <w:left w:w="140" w:type="dxa"/>
              <w:right w:w="140" w:type="dxa"/>
            </w:tcMar>
          </w:tcPr>
          <w:p>
            <w:pPr>
              <w:spacing w:before="0" w:after="0" w:line="276" w:lineRule="auto"/>
            </w:pPr>
            <w:r>
              <w:rPr>
                <w:rFonts w:ascii="Arial" w:hAnsi="Arial"/>
                <w:color w:val="2D3748"/>
                <w:sz w:val="18"/>
              </w:rPr>
              <w:t>Fresh installations must display blank login inputs and prevent stale company code auto-fill.</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2D3748"/>
                <w:sz w:val="18"/>
              </w:rPr>
              <w:t>Automated fresh installation test suite validating SessionStore and LoginWindow isolation.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