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D9488"/>
          <w:sz w:val="20"/>
        </w:rPr>
        <w:t>INDOVISION SERVICES PRIVATE LIMITED</w:t>
      </w:r>
    </w:p>
    <w:p>
      <w:pPr>
        <w:spacing w:before="0" w:after="80"/>
      </w:pPr>
      <w:r>
        <w:rPr>
          <w:rFonts w:ascii="Arial" w:hAnsi="Arial"/>
          <w:b/>
          <w:color w:val="0F2942"/>
          <w:sz w:val="36"/>
        </w:rPr>
        <w:t>High-Level Design (HLD)</w:t>
      </w:r>
    </w:p>
    <w:p>
      <w:pPr>
        <w:spacing w:before="0" w:after="120"/>
      </w:pPr>
      <w:r>
        <w:rPr>
          <w:rFonts w:ascii="Arial" w:hAnsi="Arial"/>
          <w:color w:val="64748B"/>
          <w:sz w:val="19"/>
        </w:rPr>
        <w:t>Project: iHRMS Desktop (Workpulse Client) | Application Version: 1.1 | Platforms: Windows 10/11 x64 &amp; macOS 11+ (Universal)</w:t>
      </w:r>
    </w:p>
    <w:p>
      <w:pPr>
        <w:spacing w:before="0" w:after="240"/>
      </w:pPr>
      <w:r>
        <w:rPr>
          <w:rFonts w:ascii="Arial" w:hAnsi="Arial"/>
          <w:color w:val="CBD5E1"/>
          <w:sz w:val="18"/>
        </w:rPr>
        <w:t>――――――――――――――――――――――――――――――――――――――――――――――――――――――――――</w:t>
      </w:r>
    </w:p>
    <w:p>
      <w:pPr>
        <w:spacing w:before="280" w:after="80"/>
      </w:pPr>
      <w:r>
        <w:rPr>
          <w:rFonts w:ascii="Arial" w:hAnsi="Arial"/>
          <w:b/>
          <w:color w:val="0F2942"/>
          <w:sz w:val="24"/>
        </w:rPr>
        <w:t>1. Architectural Overview &amp; Component Layers</w:t>
      </w:r>
    </w:p>
    <w:p>
      <w:pPr>
        <w:spacing w:before="0" w:after="120" w:line="276" w:lineRule="auto"/>
      </w:pPr>
      <w:r>
        <w:rPr>
          <w:rFonts w:ascii="Arial" w:hAnsi="Arial"/>
          <w:color w:val="334155"/>
          <w:sz w:val="19"/>
        </w:rPr>
        <w:t>iHRMS Desktop is built on an asynchronous, decoupled, multi-threaded architecture. Platform-specific functionality is strictly isolated within platform abstraction providers (Win32 APIs and PyObjC/Quartz), allowing the Presentation Layer (PySide6), Business Service Layer, and SQLite Data Access Layer to remain completely platform-agnostic and shared across Windows and macOS.</w:t>
      </w:r>
    </w:p>
    <w:p>
      <w:pPr>
        <w:spacing w:before="0" w:after="120" w:line="276" w:lineRule="auto"/>
      </w:pPr>
      <w:r>
        <w:rPr>
          <w:rFonts w:ascii="Arial" w:hAnsi="Arial"/>
          <w:color w:val="334155"/>
          <w:sz w:val="19"/>
        </w:rPr>
        <w:t>The system executes across dedicated threads to guarantee non-blocking UI responsiveness: Main GUI Thread (PySide6 Event Loop), TrackerWorker (1000ms polling QThread), SyncService (transactional REST batch worker), ScreenshotWorker (background capture &amp; compression), UpdateWorker (background stream &amp; staging), and SystemHealthCollector (60-second telemetry polling).</w:t>
      </w:r>
    </w:p>
    <w:p>
      <w:pPr>
        <w:spacing w:before="280" w:after="80"/>
      </w:pPr>
      <w:r>
        <w:rPr>
          <w:rFonts w:ascii="Arial" w:hAnsi="Arial"/>
          <w:b/>
          <w:color w:val="0F2942"/>
          <w:sz w:val="24"/>
        </w:rPr>
        <w:t>2. End-to-End System Integration Flow</w:t>
      </w:r>
    </w:p>
    <w:p>
      <w:pPr>
        <w:pStyle w:val="ListBullet"/>
        <w:spacing w:before="0" w:after="80" w:line="276" w:lineRule="auto"/>
      </w:pPr>
      <w:r>
        <w:rPr>
          <w:rFonts w:ascii="Arial" w:hAnsi="Arial"/>
          <w:b/>
          <w:color w:val="2D3748"/>
          <w:sz w:val="19"/>
        </w:rPr>
        <w:t xml:space="preserve">1. Dynamic Bootstrap: </w:t>
      </w:r>
      <w:r>
        <w:rPr>
          <w:rFonts w:ascii="Arial" w:hAnsi="Arial"/>
          <w:color w:val="334155"/>
          <w:sz w:val="19"/>
        </w:rPr>
        <w:t>User inputs Company Code -&gt; ApiConfig posts to App Controller (POST /appcontroller/appcontroller) -&gt; Tenant-specific base URL, logo, and platform update metadata dynamically configured.</w:t>
      </w:r>
    </w:p>
    <w:p>
      <w:pPr>
        <w:pStyle w:val="ListBullet"/>
        <w:spacing w:before="0" w:after="80" w:line="276" w:lineRule="auto"/>
      </w:pPr>
      <w:r>
        <w:rPr>
          <w:rFonts w:ascii="Arial" w:hAnsi="Arial"/>
          <w:b/>
          <w:color w:val="2D3748"/>
          <w:sz w:val="19"/>
        </w:rPr>
        <w:t xml:space="preserve">2. Two-Step Authentication &amp; Device Enrollment: </w:t>
      </w:r>
      <w:r>
        <w:rPr>
          <w:rFonts w:ascii="Arial" w:hAnsi="Arial"/>
          <w:color w:val="334155"/>
          <w:sz w:val="19"/>
        </w:rPr>
        <w:t>User authenticates (POST /login/login) -&gt; Hardware UUID enrolled (POST /workpulse/enroll_device) -&gt; Scoped device_token, indo_code, and api_key stored in Windows Credential Manager DPAPI or macOS Keychain.</w:t>
      </w:r>
    </w:p>
    <w:p>
      <w:pPr>
        <w:pStyle w:val="ListBullet"/>
        <w:spacing w:before="0" w:after="80" w:line="276" w:lineRule="auto"/>
      </w:pPr>
      <w:r>
        <w:rPr>
          <w:rFonts w:ascii="Arial" w:hAnsi="Arial"/>
          <w:b/>
          <w:color w:val="2D3748"/>
          <w:sz w:val="19"/>
        </w:rPr>
        <w:t xml:space="preserve">3. Activity Focus &amp; Idle Tracking: </w:t>
      </w:r>
      <w:r>
        <w:rPr>
          <w:rFonts w:ascii="Arial" w:hAnsi="Arial"/>
          <w:color w:val="334155"/>
          <w:sz w:val="19"/>
        </w:rPr>
        <w:t>TrackerWorker polls foreground window every 1000ms -&gt; Detects process switches and updates window titles in place -&gt; Measures user hardware input idle time -&gt; Commits closed sessions to local SQLite database.</w:t>
      </w:r>
    </w:p>
    <w:p>
      <w:pPr>
        <w:pStyle w:val="ListBullet"/>
        <w:spacing w:before="0" w:after="80" w:line="276" w:lineRule="auto"/>
      </w:pPr>
      <w:r>
        <w:rPr>
          <w:rFonts w:ascii="Arial" w:hAnsi="Arial"/>
          <w:b/>
          <w:color w:val="2D3748"/>
          <w:sz w:val="19"/>
        </w:rPr>
        <w:t xml:space="preserve">4. Transactional Batch Synchronization: </w:t>
      </w:r>
      <w:r>
        <w:rPr>
          <w:rFonts w:ascii="Arial" w:hAnsi="Arial"/>
          <w:color w:val="334155"/>
          <w:sz w:val="19"/>
        </w:rPr>
        <w:t>SyncService batches up to 100 closed sessions and transmits via POST /workpulse/save_activity_batch; ScreenshotService uploads captures via POST /workpulse/upload_screenshot with verified local cleanup upon HTTP 200.</w:t>
      </w:r>
    </w:p>
    <w:p>
      <w:pPr>
        <w:pStyle w:val="ListBullet"/>
        <w:spacing w:before="0" w:after="80" w:line="276" w:lineRule="auto"/>
      </w:pPr>
      <w:r>
        <w:rPr>
          <w:rFonts w:ascii="Arial" w:hAnsi="Arial"/>
          <w:b/>
          <w:color w:val="2D3748"/>
          <w:sz w:val="19"/>
        </w:rPr>
        <w:t xml:space="preserve">5. Dashboard, Attendance &amp; Timesheet PMS: </w:t>
      </w:r>
      <w:r>
        <w:rPr>
          <w:rFonts w:ascii="Arial" w:hAnsi="Arial"/>
          <w:color w:val="334155"/>
          <w:sz w:val="19"/>
        </w:rPr>
        <w:t>Dashboard displays real-time Today Time, Start Time, Punch Time (POST /punch/get_punch_time), Monthly Attendance calendar (POST /attendance/get_attendance_record), Leave Quotas (POST /LeaveApply/view_balance), and KRA Timesheet table (POST /TaskPMS/fill_time_sheet).</w:t>
      </w:r>
    </w:p>
    <w:p>
      <w:pPr>
        <w:pStyle w:val="ListBullet"/>
        <w:spacing w:before="0" w:after="80" w:line="276" w:lineRule="auto"/>
      </w:pPr>
      <w:r>
        <w:rPr>
          <w:rFonts w:ascii="Arial" w:hAnsi="Arial"/>
          <w:b/>
          <w:color w:val="2D3748"/>
          <w:sz w:val="19"/>
        </w:rPr>
        <w:t xml:space="preserve">6. Process Supervision &amp; Crash Recovery: </w:t>
      </w:r>
      <w:r>
        <w:rPr>
          <w:rFonts w:ascii="Arial" w:hAnsi="Arial"/>
          <w:color w:val="334155"/>
          <w:sz w:val="19"/>
        </w:rPr>
        <w:t>On Windows, a detached supervisor process (iHRMS-Supervisor.exe) and Task Scheduler monitor the application; on macOS, native launchd LaunchAgent daemon (KeepAlive) automatically relaunches the app upon unexpected termination.</w:t>
      </w:r>
    </w:p>
    <w:p>
      <w:pPr>
        <w:pStyle w:val="ListBullet"/>
        <w:spacing w:before="0" w:after="80" w:line="276" w:lineRule="auto"/>
      </w:pPr>
      <w:r>
        <w:rPr>
          <w:rFonts w:ascii="Arial" w:hAnsi="Arial"/>
          <w:b/>
          <w:color w:val="2D3748"/>
          <w:sz w:val="19"/>
        </w:rPr>
        <w:t xml:space="preserve">7. Authoritative Auto-Updates: </w:t>
      </w:r>
      <w:r>
        <w:rPr>
          <w:rFonts w:ascii="Arial" w:hAnsi="Arial"/>
          <w:color w:val="334155"/>
          <w:sz w:val="19"/>
        </w:rPr>
        <w:t>UpdateService checks App Controller API metadata; evaluates semantic version precedence; validates PE header (MZ) on Windows or DMG koly on macOS; triggers detached silent updater and restores session seamlessly.</w:t>
      </w:r>
    </w:p>
    <w:p>
      <w:pPr>
        <w:spacing w:before="280" w:after="80"/>
      </w:pPr>
      <w:r>
        <w:rPr>
          <w:rFonts w:ascii="Arial" w:hAnsi="Arial"/>
          <w:b/>
          <w:color w:val="0F2942"/>
          <w:sz w:val="24"/>
        </w:rPr>
        <w:t>3. Security Architecture &amp; Threat Mitigation</w:t>
      </w:r>
    </w:p>
    <w:p>
      <w:pPr>
        <w:pStyle w:val="ListBullet"/>
        <w:spacing w:before="0" w:after="80" w:line="276" w:lineRule="auto"/>
      </w:pPr>
      <w:r>
        <w:rPr>
          <w:rFonts w:ascii="Arial" w:hAnsi="Arial"/>
          <w:b/>
          <w:color w:val="2D3748"/>
          <w:sz w:val="19"/>
        </w:rPr>
        <w:t xml:space="preserve">Transport Security: </w:t>
      </w:r>
      <w:r>
        <w:rPr>
          <w:rFonts w:ascii="Arial" w:hAnsi="Arial"/>
          <w:color w:val="334155"/>
          <w:sz w:val="19"/>
        </w:rPr>
        <w:t>All network communication strictly enforces TLS 1.2+ encryption with automatic CA bundle discovery (init_ca_bundle) preventing SSL certificate errors.</w:t>
      </w:r>
    </w:p>
    <w:p>
      <w:pPr>
        <w:pStyle w:val="ListBullet"/>
        <w:spacing w:before="0" w:after="80" w:line="276" w:lineRule="auto"/>
      </w:pPr>
      <w:r>
        <w:rPr>
          <w:rFonts w:ascii="Arial" w:hAnsi="Arial"/>
          <w:b/>
          <w:color w:val="2D3748"/>
          <w:sz w:val="19"/>
        </w:rPr>
        <w:t xml:space="preserve">Credential Protection: </w:t>
      </w:r>
      <w:r>
        <w:rPr>
          <w:rFonts w:ascii="Arial" w:hAnsi="Arial"/>
          <w:color w:val="334155"/>
          <w:sz w:val="19"/>
        </w:rPr>
        <w:t>Authentication tokens and credentials are encrypted using Windows Credential Manager DPAPI or macOS Keychain (/usr/bin/security); tokens are scrubbed from diagnostic log files.</w:t>
      </w:r>
    </w:p>
    <w:p>
      <w:pPr>
        <w:pStyle w:val="ListBullet"/>
        <w:spacing w:before="0" w:after="80" w:line="276" w:lineRule="auto"/>
      </w:pPr>
      <w:r>
        <w:rPr>
          <w:rFonts w:ascii="Arial" w:hAnsi="Arial"/>
          <w:b/>
          <w:color w:val="2D3748"/>
          <w:sz w:val="19"/>
        </w:rPr>
        <w:t xml:space="preserve">Storage &amp; User Isolation: </w:t>
      </w:r>
      <w:r>
        <w:rPr>
          <w:rFonts w:ascii="Arial" w:hAnsi="Arial"/>
          <w:color w:val="334155"/>
          <w:sz w:val="19"/>
        </w:rPr>
        <w:t>Local SQLite database, session stores, and screenshots are restricted to user-level application data directories with multi-user isolation on shared workstations.</w:t>
      </w:r>
    </w:p>
    <w:p>
      <w:pPr>
        <w:pStyle w:val="ListBullet"/>
        <w:spacing w:before="0" w:after="80" w:line="276" w:lineRule="auto"/>
      </w:pPr>
      <w:r>
        <w:rPr>
          <w:rFonts w:ascii="Arial" w:hAnsi="Arial"/>
          <w:b/>
          <w:color w:val="2D3748"/>
          <w:sz w:val="19"/>
        </w:rPr>
        <w:t xml:space="preserve">Single-Instance Guard: </w:t>
      </w:r>
      <w:r>
        <w:rPr>
          <w:rFonts w:ascii="Arial" w:hAnsi="Arial"/>
          <w:color w:val="334155"/>
          <w:sz w:val="19"/>
        </w:rPr>
        <w:t>QLockFile with 15-second stale timeout prevents duplicate background processes, automatically clearing dead PID locks and bringing the genuine top-level window to foreground.</w:t>
      </w:r>
    </w:p>
    <w:p>
      <w:pPr>
        <w:pStyle w:val="ListBullet"/>
        <w:spacing w:before="0" w:after="80" w:line="276" w:lineRule="auto"/>
      </w:pPr>
      <w:r>
        <w:rPr>
          <w:rFonts w:ascii="Arial" w:hAnsi="Arial"/>
          <w:b/>
          <w:color w:val="2D3748"/>
          <w:sz w:val="19"/>
        </w:rPr>
        <w:t xml:space="preserve">Privacy Safeguards: </w:t>
      </w:r>
      <w:r>
        <w:rPr>
          <w:rFonts w:ascii="Arial" w:hAnsi="Arial"/>
          <w:color w:val="334155"/>
          <w:sz w:val="19"/>
        </w:rPr>
        <w:t>Strict non-invasive policy: keystrokes, clipboards, browser URLs, and unauthorized audio/video recordings are prohibited.</w:t>
      </w:r>
    </w:p>
    <w:p>
      <w:pPr>
        <w:spacing w:before="280" w:after="80"/>
      </w:pPr>
      <w:r>
        <w:rPr>
          <w:rFonts w:ascii="Arial" w:hAnsi="Arial"/>
          <w:b/>
          <w:color w:val="0F2942"/>
          <w:sz w:val="24"/>
        </w:rPr>
        <w:t>4. Layer / Subsystem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none"/>
          <w:bottom w:val="single" w:sz="6" w:space="0" w:color="E2E8F0"/>
          <w:right w:val="none"/>
          <w:insideH w:val="single" w:sz="4" w:space="0" w:color="E2E8F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  <w:shd w:fill="0F2942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9"/>
              </w:rPr>
              <w:t>Layer / Subsystem</w:t>
            </w:r>
          </w:p>
        </w:tc>
        <w:tc>
          <w:tcPr>
            <w:tcW w:type="dxa" w:w="3600"/>
            <w:shd w:fill="0F2942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9"/>
              </w:rPr>
              <w:t>Key Components</w:t>
            </w:r>
          </w:p>
        </w:tc>
        <w:tc>
          <w:tcPr>
            <w:tcW w:type="dxa" w:w="3600"/>
            <w:shd w:fill="0F2942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Core Architectural Responsibility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Presentation Layer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LoginWindow, MainWindow, DashboardPage, AttendancePage, TaskTable, AdditionalTaskWidget, ReleaseSummaryDialog, SystemTray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Renders PySide6 widgets, visualizes live timesheet/attendance cards, manages two-step company verification, dispatches user actions.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Service Layer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SyncService, SessionService, SessionStore, AttendanceService, TaskService, ScreenshotService, UpdateService, ErrorReportService, UninstallReporter, NetworkReachabilityMonitor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Orchestrates background business logic, API HTTP communication, session lifecycle, network reachability, uninstallation detection, and update staging.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Tracker Engine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ActivityTracker, TrackerWorker, ActiveSession, SystemHealthCollector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Manages active/idle state machine, executes 1000ms polling on dedicated QThread, collects CPU/RAM/Disk/Battery metrics, handles midnight active rollover.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Platform Layer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PlatformActivityProvider, WindowsActivityProvider, MacOSActivityProvider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Interacts with Win32 APIs (GetForegroundWindow/GetLastInputInfo) and macOS Quartz/NSWorkspace/IOPlatformExpertDevice.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System &amp; Recovery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system/startup.py, system/supervisor.py, iHRMS-Supervisor.exe, LaunchAgent plist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Manages OS startup auto-launch (HKCU Run key &amp; macOS LaunchAgent), transparent supervisor watchdog, launchd KeepAlive crash recovery, and osascript activation.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Data Access Layer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ActivityRepository, SQLAlchemy Models, SQLite Engine (activity_tracker.db)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Manages local transactional ACID persistence with Write-Ahead Logging (WAL), busy timeout 5000ms, and offline queueing.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Configuration Layer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ApiConfig (Singleton), SettingsService, Paths, Logger, Security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Resolves dynamic tenant endpoints from App Controller, manages local storage paths, formats structured rotating diagnostic logs.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