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0D9488"/>
          <w:sz w:val="20"/>
        </w:rPr>
        <w:t>INDOVISION SERVICES PRIVATE LIMITED</w:t>
      </w:r>
    </w:p>
    <w:p>
      <w:pPr>
        <w:spacing w:before="0" w:after="80"/>
      </w:pPr>
      <w:r>
        <w:rPr>
          <w:rFonts w:ascii="Arial" w:hAnsi="Arial"/>
          <w:b/>
          <w:color w:val="0F2942"/>
          <w:sz w:val="36"/>
        </w:rPr>
        <w:t>Product Requirements Document (PRD)</w:t>
      </w:r>
    </w:p>
    <w:p>
      <w:pPr>
        <w:spacing w:before="0" w:after="120"/>
      </w:pPr>
      <w:r>
        <w:rPr>
          <w:rFonts w:ascii="Arial" w:hAnsi="Arial"/>
          <w:color w:val="64748B"/>
          <w:sz w:val="19"/>
        </w:rPr>
        <w:t>Project: iHRMS Desktop (Workpulse Client) | Application Version: 1.1 | Platforms: Windows 10/11 x64 &amp; macOS 11+ (Universal)</w:t>
      </w:r>
    </w:p>
    <w:p>
      <w:pPr>
        <w:spacing w:before="0" w:after="240"/>
      </w:pPr>
      <w:r>
        <w:rPr>
          <w:rFonts w:ascii="Arial" w:hAnsi="Arial"/>
          <w:color w:val="CBD5E1"/>
          <w:sz w:val="18"/>
        </w:rPr>
        <w:t>――――――――――――――――――――――――――――――――――――――――――――――――――――――――――</w:t>
      </w:r>
    </w:p>
    <w:p>
      <w:pPr>
        <w:spacing w:before="280" w:after="80"/>
      </w:pPr>
      <w:r>
        <w:rPr>
          <w:rFonts w:ascii="Arial" w:hAnsi="Arial"/>
          <w:b/>
          <w:color w:val="0F2942"/>
          <w:sz w:val="24"/>
        </w:rPr>
        <w:t>1. Product Overview &amp; Vision</w:t>
      </w:r>
    </w:p>
    <w:p>
      <w:pPr>
        <w:spacing w:before="0" w:after="120" w:line="276" w:lineRule="auto"/>
      </w:pPr>
      <w:r>
        <w:rPr>
          <w:rFonts w:ascii="Arial" w:hAnsi="Arial"/>
          <w:color w:val="334155"/>
          <w:sz w:val="19"/>
        </w:rPr>
        <w:t>iHRMS Desktop is an enterprise workstation productivity and workforce analytics companion engineered by Indovision Services. It seamlessly bridges employee desktop activity with the centralized HRMS cloud infrastructure. The application automatically measures active focus time, coordinates attendance punch times, manages daily KRA timesheets and additional tasks, provides hardware health telemetry, and supports zero-touch background updating.</w:t>
      </w:r>
    </w:p>
    <w:p>
      <w:pPr>
        <w:spacing w:before="280" w:after="80"/>
      </w:pPr>
      <w:r>
        <w:rPr>
          <w:rFonts w:ascii="Arial" w:hAnsi="Arial"/>
          <w:b/>
          <w:color w:val="0F2942"/>
          <w:sz w:val="24"/>
        </w:rPr>
        <w:t>2. User Personas &amp; Core Workflows</w:t>
      </w:r>
    </w:p>
    <w:p>
      <w:pPr>
        <w:spacing w:before="200" w:after="60"/>
      </w:pPr>
      <w:r>
        <w:rPr>
          <w:rFonts w:ascii="Arial" w:hAnsi="Arial"/>
          <w:b/>
          <w:color w:val="0F2942"/>
          <w:sz w:val="21"/>
        </w:rPr>
        <w:t>2.1 Primary User: Remote &amp; Hybrid Employees</w:t>
      </w:r>
    </w:p>
    <w:p>
      <w:pPr>
        <w:spacing w:before="0" w:after="120" w:line="276" w:lineRule="auto"/>
      </w:pPr>
      <w:r>
        <w:rPr>
          <w:rFonts w:ascii="Arial" w:hAnsi="Arial"/>
          <w:color w:val="334155"/>
          <w:sz w:val="19"/>
        </w:rPr>
        <w:t>The employee launches iHRMS Desktop. On a fresh installation, all login inputs start strictly empty. Once verified, the company code field locks with a green checkmark. Upon login, the workstation enrolls automatically, displays the official punch-in time, and initiates Workpulse tracking. During the workday, the app measures active focus and idle duration. At end-of-day, the employee reviews their Today Total Time, completes task completion remarks in the Timesheet table, and submits their daily KRA report.</w:t>
      </w:r>
    </w:p>
    <w:p>
      <w:pPr>
        <w:spacing w:before="200" w:after="60"/>
      </w:pPr>
      <w:r>
        <w:rPr>
          <w:rFonts w:ascii="Arial" w:hAnsi="Arial"/>
          <w:b/>
          <w:color w:val="0F2942"/>
          <w:sz w:val="21"/>
        </w:rPr>
        <w:t>2.2 Secondary User: HR Administrators &amp; IT Operations</w:t>
      </w:r>
    </w:p>
    <w:p>
      <w:pPr>
        <w:spacing w:before="0" w:after="120" w:line="276" w:lineRule="auto"/>
      </w:pPr>
      <w:r>
        <w:rPr>
          <w:rFonts w:ascii="Arial" w:hAnsi="Arial"/>
          <w:color w:val="334155"/>
          <w:sz w:val="19"/>
        </w:rPr>
        <w:t>HR managers audit attendance records and KRA submissions with synchronized accuracy. IT administrators deploy silent Inno Setup (.exe) and macOS (.dmg) installers, relying on transparent supervisor/launchd recovery, low memory overhead (&lt;85 MB RAM), and automated silent updates.</w:t>
      </w:r>
    </w:p>
    <w:p>
      <w:pPr>
        <w:spacing w:before="280" w:after="80"/>
      </w:pPr>
      <w:r>
        <w:rPr>
          <w:rFonts w:ascii="Arial" w:hAnsi="Arial"/>
          <w:b/>
          <w:color w:val="0F2942"/>
          <w:sz w:val="24"/>
        </w:rPr>
        <w:t>3. Functional Requirements Specifications</w:t>
      </w:r>
    </w:p>
    <w:tbl>
      <w:tblPr>
        <w:tblW w:type="auto" w:w="0"/>
        <w:jc w:val="center"/>
        <w:tblLayout w:type="fixed"/>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2880"/>
        <w:gridCol w:w="2880"/>
        <w:gridCol w:w="2880"/>
      </w:tblGrid>
      <w:tr>
        <w:tc>
          <w:tcPr>
            <w:tcW w:type="dxa" w:w="2160"/>
            <w:shd w:fill="0F2942"/>
            <w:tcMar>
              <w:top w:w="140" w:type="dxa"/>
              <w:bottom w:w="140" w:type="dxa"/>
              <w:left w:w="160" w:type="dxa"/>
              <w:right w:w="160" w:type="dxa"/>
            </w:tcMar>
          </w:tcPr>
          <w:p>
            <w:pPr>
              <w:spacing w:before="0" w:after="0"/>
            </w:pPr>
            <w:r>
              <w:rPr>
                <w:rFonts w:ascii="Arial" w:hAnsi="Arial"/>
                <w:b/>
                <w:color w:val="FFFFFF"/>
                <w:sz w:val="19"/>
              </w:rPr>
              <w:t>Module</w:t>
            </w:r>
          </w:p>
        </w:tc>
        <w:tc>
          <w:tcPr>
            <w:tcW w:type="dxa" w:w="4608"/>
            <w:shd w:fill="0F2942"/>
            <w:tcMar>
              <w:top w:w="140" w:type="dxa"/>
              <w:bottom w:w="140" w:type="dxa"/>
              <w:left w:w="160" w:type="dxa"/>
              <w:right w:w="160" w:type="dxa"/>
            </w:tcMar>
          </w:tcPr>
          <w:p>
            <w:pPr>
              <w:spacing w:before="0" w:after="0"/>
            </w:pPr>
            <w:r>
              <w:rPr>
                <w:rFonts w:ascii="Arial" w:hAnsi="Arial"/>
                <w:b/>
                <w:color w:val="FFFFFF"/>
                <w:sz w:val="19"/>
              </w:rPr>
              <w:t>Requirement Description</w:t>
            </w:r>
          </w:p>
        </w:tc>
        <w:tc>
          <w:tcPr>
            <w:tcW w:type="dxa" w:w="2592"/>
            <w:shd w:fill="0F2942"/>
            <w:tcMar>
              <w:top w:w="140" w:type="dxa"/>
              <w:bottom w:w="140" w:type="dxa"/>
              <w:left w:w="160" w:type="dxa"/>
              <w:right w:w="160" w:type="dxa"/>
            </w:tcMar>
          </w:tcPr>
          <w:p>
            <w:pPr>
              <w:spacing w:before="0" w:after="0"/>
            </w:pPr>
            <w:r>
              <w:rPr>
                <w:rFonts w:ascii="Arial" w:hAnsi="Arial"/>
                <w:b/>
                <w:color w:val="FFFFFF"/>
                <w:sz w:val="19"/>
              </w:rPr>
              <w:t>API Endpoint / Trigger</w:t>
            </w:r>
          </w:p>
        </w:tc>
      </w:tr>
      <w:tr>
        <w:tc>
          <w:tcPr>
            <w:tcW w:type="dxa" w:w="2160"/>
            <w:shd w:fill="FFFFFF"/>
            <w:tcMar>
              <w:top w:w="100" w:type="dxa"/>
              <w:bottom w:w="100" w:type="dxa"/>
              <w:left w:w="140" w:type="dxa"/>
              <w:right w:w="140" w:type="dxa"/>
            </w:tcMar>
          </w:tcPr>
          <w:p>
            <w:pPr>
              <w:spacing w:before="0" w:after="0" w:line="276" w:lineRule="auto"/>
            </w:pPr>
            <w:r>
              <w:rPr>
                <w:rFonts w:ascii="Arial" w:hAnsi="Arial"/>
                <w:b/>
                <w:color w:val="2D3748"/>
                <w:sz w:val="18"/>
              </w:rPr>
              <w:t>Auth &amp; Bootstrap</w:t>
            </w:r>
          </w:p>
        </w:tc>
        <w:tc>
          <w:tcPr>
            <w:tcW w:type="dxa" w:w="4608"/>
            <w:shd w:fill="FFFFFF"/>
            <w:tcMar>
              <w:top w:w="100" w:type="dxa"/>
              <w:bottom w:w="100" w:type="dxa"/>
              <w:left w:w="140" w:type="dxa"/>
              <w:right w:w="140" w:type="dxa"/>
            </w:tcMar>
          </w:tcPr>
          <w:p>
            <w:pPr>
              <w:spacing w:before="0" w:after="0" w:line="276" w:lineRule="auto"/>
            </w:pPr>
            <w:r>
              <w:rPr>
                <w:rFonts w:ascii="Arial" w:hAnsi="Arial"/>
                <w:color w:val="2D3748"/>
                <w:sz w:val="18"/>
              </w:rPr>
              <w:t>Dynamic company bootstrap, two-step login verification, company code locking, employee authentication, workstation hardware enrollment.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2D3748"/>
                <w:sz w:val="18"/>
              </w:rPr>
              <w:t>POST /appcontroller/appcontroller, POST /login/login, POST /workpulse/enroll_device</w:t>
            </w:r>
          </w:p>
        </w:tc>
      </w:tr>
      <w:tr>
        <w:tc>
          <w:tcPr>
            <w:tcW w:type="dxa" w:w="2160"/>
            <w:shd w:fill="F8FAFC"/>
            <w:tcMar>
              <w:top w:w="100" w:type="dxa"/>
              <w:bottom w:w="100" w:type="dxa"/>
              <w:left w:w="140" w:type="dxa"/>
              <w:right w:w="140" w:type="dxa"/>
            </w:tcMar>
          </w:tcPr>
          <w:p>
            <w:pPr>
              <w:spacing w:before="0" w:after="0" w:line="276" w:lineRule="auto"/>
            </w:pPr>
            <w:r>
              <w:rPr>
                <w:rFonts w:ascii="Arial" w:hAnsi="Arial"/>
                <w:b/>
                <w:color w:val="2D3748"/>
                <w:sz w:val="18"/>
              </w:rPr>
              <w:t>Activity Focus Tracking</w:t>
            </w:r>
          </w:p>
        </w:tc>
        <w:tc>
          <w:tcPr>
            <w:tcW w:type="dxa" w:w="4608"/>
            <w:shd w:fill="F8FAFC"/>
            <w:tcMar>
              <w:top w:w="100" w:type="dxa"/>
              <w:bottom w:w="100" w:type="dxa"/>
              <w:left w:w="140" w:type="dxa"/>
              <w:right w:w="140" w:type="dxa"/>
            </w:tcMar>
          </w:tcPr>
          <w:p>
            <w:pPr>
              <w:spacing w:before="0" w:after="0" w:line="276" w:lineRule="auto"/>
            </w:pPr>
            <w:r>
              <w:rPr>
                <w:rFonts w:ascii="Arial" w:hAnsi="Arial"/>
                <w:color w:val="2D3748"/>
                <w:sz w:val="18"/>
              </w:rPr>
              <w:t>1000ms active window polling, in-place title updates for tab switches, context-preserving idle detection, midnight active time auto-rollover.</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2D3748"/>
                <w:sz w:val="18"/>
              </w:rPr>
              <w:t>tracker/activity_tracker.py, platform_support/windows/, platform_support/macos/</w:t>
            </w:r>
          </w:p>
        </w:tc>
      </w:tr>
      <w:tr>
        <w:tc>
          <w:tcPr>
            <w:tcW w:type="dxa" w:w="2160"/>
            <w:shd w:fill="FFFFFF"/>
            <w:tcMar>
              <w:top w:w="100" w:type="dxa"/>
              <w:bottom w:w="100" w:type="dxa"/>
              <w:left w:w="140" w:type="dxa"/>
              <w:right w:w="140" w:type="dxa"/>
            </w:tcMar>
          </w:tcPr>
          <w:p>
            <w:pPr>
              <w:spacing w:before="0" w:after="0" w:line="276" w:lineRule="auto"/>
            </w:pPr>
            <w:r>
              <w:rPr>
                <w:rFonts w:ascii="Arial" w:hAnsi="Arial"/>
                <w:b/>
                <w:color w:val="2D3748"/>
                <w:sz w:val="18"/>
              </w:rPr>
              <w:t>Cloud Sync &amp; Telemetry</w:t>
            </w:r>
          </w:p>
        </w:tc>
        <w:tc>
          <w:tcPr>
            <w:tcW w:type="dxa" w:w="4608"/>
            <w:shd w:fill="FFFFFF"/>
            <w:tcMar>
              <w:top w:w="100" w:type="dxa"/>
              <w:bottom w:w="100" w:type="dxa"/>
              <w:left w:w="140" w:type="dxa"/>
              <w:right w:w="140" w:type="dxa"/>
            </w:tcMar>
          </w:tcPr>
          <w:p>
            <w:pPr>
              <w:spacing w:before="0" w:after="0" w:line="276" w:lineRule="auto"/>
            </w:pPr>
            <w:r>
              <w:rPr>
                <w:rFonts w:ascii="Arial" w:hAnsi="Arial"/>
                <w:color w:val="2D3748"/>
                <w:sz w:val="18"/>
              </w:rPr>
              <w:t>Transactional batch upload of closed sessions (up to 100 records), periodic JPEG screenshot upload, 60s health telemetry, error logging.</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2D3748"/>
                <w:sz w:val="18"/>
              </w:rPr>
              <w:t>POST /workpulse/save_activity_batch, POST /workpulse/upload_screenshot, POST /workpulse/report_error</w:t>
            </w:r>
          </w:p>
        </w:tc>
      </w:tr>
      <w:tr>
        <w:tc>
          <w:tcPr>
            <w:tcW w:type="dxa" w:w="2160"/>
            <w:shd w:fill="F8FAFC"/>
            <w:tcMar>
              <w:top w:w="100" w:type="dxa"/>
              <w:bottom w:w="100" w:type="dxa"/>
              <w:left w:w="140" w:type="dxa"/>
              <w:right w:w="140" w:type="dxa"/>
            </w:tcMar>
          </w:tcPr>
          <w:p>
            <w:pPr>
              <w:spacing w:before="0" w:after="0" w:line="276" w:lineRule="auto"/>
            </w:pPr>
            <w:r>
              <w:rPr>
                <w:rFonts w:ascii="Arial" w:hAnsi="Arial"/>
                <w:b/>
                <w:color w:val="2D3748"/>
                <w:sz w:val="18"/>
              </w:rPr>
              <w:t>Dashboard &amp; Attendance</w:t>
            </w:r>
          </w:p>
        </w:tc>
        <w:tc>
          <w:tcPr>
            <w:tcW w:type="dxa" w:w="4608"/>
            <w:shd w:fill="F8FAFC"/>
            <w:tcMar>
              <w:top w:w="100" w:type="dxa"/>
              <w:bottom w:w="100" w:type="dxa"/>
              <w:left w:w="140" w:type="dxa"/>
              <w:right w:w="140" w:type="dxa"/>
            </w:tcMar>
          </w:tcPr>
          <w:p>
            <w:pPr>
              <w:spacing w:before="0" w:after="0" w:line="276" w:lineRule="auto"/>
            </w:pPr>
            <w:r>
              <w:rPr>
                <w:rFonts w:ascii="Arial" w:hAnsi="Arial"/>
                <w:color w:val="2D3748"/>
                <w:sz w:val="18"/>
              </w:rPr>
              <w:t>Real-time cards (Today Time, Start Time, Punch Time, Attendance badge), interactive Monthly Attendance calendar with green Missed Punch, leave quotas.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2D3748"/>
                <w:sz w:val="18"/>
              </w:rPr>
              <w:t>POST /punch/get_punch_time, POST /attendance/get_attendance_record, POST /LeaveApply/view_balance</w:t>
            </w:r>
          </w:p>
        </w:tc>
      </w:tr>
      <w:tr>
        <w:tc>
          <w:tcPr>
            <w:tcW w:type="dxa" w:w="2160"/>
            <w:shd w:fill="FFFFFF"/>
            <w:tcMar>
              <w:top w:w="100" w:type="dxa"/>
              <w:bottom w:w="100" w:type="dxa"/>
              <w:left w:w="140" w:type="dxa"/>
              <w:right w:w="140" w:type="dxa"/>
            </w:tcMar>
          </w:tcPr>
          <w:p>
            <w:pPr>
              <w:spacing w:before="0" w:after="0" w:line="276" w:lineRule="auto"/>
            </w:pPr>
            <w:r>
              <w:rPr>
                <w:rFonts w:ascii="Arial" w:hAnsi="Arial"/>
                <w:b/>
                <w:color w:val="2D3748"/>
                <w:sz w:val="18"/>
              </w:rPr>
              <w:t>Task PMS &amp; Timesheets</w:t>
            </w:r>
          </w:p>
        </w:tc>
        <w:tc>
          <w:tcPr>
            <w:tcW w:type="dxa" w:w="4608"/>
            <w:shd w:fill="FFFFFF"/>
            <w:tcMar>
              <w:top w:w="100" w:type="dxa"/>
              <w:bottom w:w="100" w:type="dxa"/>
              <w:left w:w="140" w:type="dxa"/>
              <w:right w:w="140" w:type="dxa"/>
            </w:tcMar>
          </w:tcPr>
          <w:p>
            <w:pPr>
              <w:spacing w:before="0" w:after="0" w:line="276" w:lineRule="auto"/>
            </w:pPr>
            <w:r>
              <w:rPr>
                <w:rFonts w:ascii="Arial" w:hAnsi="Arial"/>
                <w:color w:val="2D3748"/>
                <w:sz w:val="18"/>
              </w:rPr>
              <w:t>Assigned KRA tasks and Additional Tasks table, completion %, hours spent, remarks, draft saving, and timesheet submission.</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2D3748"/>
                <w:sz w:val="18"/>
              </w:rPr>
              <w:t>POST /TaskPMS/get_kra, POST /TaskPMS/fill_time_sheet, POST /TaskPMS/save_additional_task</w:t>
            </w:r>
          </w:p>
        </w:tc>
      </w:tr>
      <w:tr>
        <w:tc>
          <w:tcPr>
            <w:tcW w:type="dxa" w:w="2160"/>
            <w:shd w:fill="F8FAFC"/>
            <w:tcMar>
              <w:top w:w="100" w:type="dxa"/>
              <w:bottom w:w="100" w:type="dxa"/>
              <w:left w:w="140" w:type="dxa"/>
              <w:right w:w="140" w:type="dxa"/>
            </w:tcMar>
          </w:tcPr>
          <w:p>
            <w:pPr>
              <w:spacing w:before="0" w:after="0" w:line="276" w:lineRule="auto"/>
            </w:pPr>
            <w:r>
              <w:rPr>
                <w:rFonts w:ascii="Arial" w:hAnsi="Arial"/>
                <w:b/>
                <w:color w:val="2D3748"/>
                <w:sz w:val="18"/>
              </w:rPr>
              <w:t>HRMS Portal SSO</w:t>
            </w:r>
          </w:p>
        </w:tc>
        <w:tc>
          <w:tcPr>
            <w:tcW w:type="dxa" w:w="4608"/>
            <w:shd w:fill="F8FAFC"/>
            <w:tcMar>
              <w:top w:w="100" w:type="dxa"/>
              <w:bottom w:w="100" w:type="dxa"/>
              <w:left w:w="140" w:type="dxa"/>
              <w:right w:w="140" w:type="dxa"/>
            </w:tcMar>
          </w:tcPr>
          <w:p>
            <w:pPr>
              <w:spacing w:before="0" w:after="0" w:line="276" w:lineRule="auto"/>
            </w:pPr>
            <w:r>
              <w:rPr>
                <w:rFonts w:ascii="Arial" w:hAnsi="Arial"/>
                <w:color w:val="2D3748"/>
                <w:sz w:val="18"/>
              </w:rPr>
              <w:t>One-click temporary secure HTML auto-login bridge opening the tenant HRMS Web Portal in the user's default browser.</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2D3748"/>
                <w:sz w:val="18"/>
              </w:rPr>
              <w:t>services/hrms_portal_service.py</w:t>
            </w:r>
          </w:p>
        </w:tc>
      </w:tr>
      <w:tr>
        <w:tc>
          <w:tcPr>
            <w:tcW w:type="dxa" w:w="2160"/>
            <w:shd w:fill="FFFFFF"/>
            <w:tcMar>
              <w:top w:w="100" w:type="dxa"/>
              <w:bottom w:w="100" w:type="dxa"/>
              <w:left w:w="140" w:type="dxa"/>
              <w:right w:w="140" w:type="dxa"/>
            </w:tcMar>
          </w:tcPr>
          <w:p>
            <w:pPr>
              <w:spacing w:before="0" w:after="0" w:line="276" w:lineRule="auto"/>
            </w:pPr>
            <w:r>
              <w:rPr>
                <w:rFonts w:ascii="Arial" w:hAnsi="Arial"/>
                <w:b/>
                <w:color w:val="2D3748"/>
                <w:sz w:val="18"/>
              </w:rPr>
              <w:t>Process Recovery</w:t>
            </w:r>
          </w:p>
        </w:tc>
        <w:tc>
          <w:tcPr>
            <w:tcW w:type="dxa" w:w="4608"/>
            <w:shd w:fill="FFFFFF"/>
            <w:tcMar>
              <w:top w:w="100" w:type="dxa"/>
              <w:bottom w:w="100" w:type="dxa"/>
              <w:left w:w="140" w:type="dxa"/>
              <w:right w:w="140" w:type="dxa"/>
            </w:tcMar>
          </w:tcPr>
          <w:p>
            <w:pPr>
              <w:spacing w:before="0" w:after="0" w:line="276" w:lineRule="auto"/>
            </w:pPr>
            <w:r>
              <w:rPr>
                <w:rFonts w:ascii="Arial" w:hAnsi="Arial"/>
                <w:color w:val="2D3748"/>
                <w:sz w:val="18"/>
              </w:rPr>
              <w:t>Transparent Windows watchdog supervisor (iHRMS-Supervisor.exe) and Task Scheduler; native macOS launchd LaunchAgent KeepAlive.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2D3748"/>
                <w:sz w:val="18"/>
              </w:rPr>
              <w:t>system/startup.py, system/supervisor.py, LaunchAgent plist</w:t>
            </w:r>
          </w:p>
        </w:tc>
      </w:tr>
      <w:tr>
        <w:tc>
          <w:tcPr>
            <w:tcW w:type="dxa" w:w="2160"/>
            <w:shd w:fill="F8FAFC"/>
            <w:tcMar>
              <w:top w:w="100" w:type="dxa"/>
              <w:bottom w:w="100" w:type="dxa"/>
              <w:left w:w="140" w:type="dxa"/>
              <w:right w:w="140" w:type="dxa"/>
            </w:tcMar>
          </w:tcPr>
          <w:p>
            <w:pPr>
              <w:spacing w:before="0" w:after="0" w:line="276" w:lineRule="auto"/>
            </w:pPr>
            <w:r>
              <w:rPr>
                <w:rFonts w:ascii="Arial" w:hAnsi="Arial"/>
                <w:b/>
                <w:color w:val="2D3748"/>
                <w:sz w:val="18"/>
              </w:rPr>
              <w:t>Authoritative Auto-Update</w:t>
            </w:r>
          </w:p>
        </w:tc>
        <w:tc>
          <w:tcPr>
            <w:tcW w:type="dxa" w:w="4608"/>
            <w:shd w:fill="F8FAFC"/>
            <w:tcMar>
              <w:top w:w="100" w:type="dxa"/>
              <w:bottom w:w="100" w:type="dxa"/>
              <w:left w:w="140" w:type="dxa"/>
              <w:right w:w="140" w:type="dxa"/>
            </w:tcMar>
          </w:tcPr>
          <w:p>
            <w:pPr>
              <w:spacing w:before="0" w:after="0" w:line="276" w:lineRule="auto"/>
            </w:pPr>
            <w:r>
              <w:rPr>
                <w:rFonts w:ascii="Arial" w:hAnsi="Arial"/>
                <w:color w:val="2D3748"/>
                <w:sz w:val="18"/>
              </w:rPr>
              <w:t>Check live server release via App Controller; semantic version comparison; PE/DMG binary validation; detached silent installation; 24h loop guard.</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2D3748"/>
                <w:sz w:val="18"/>
              </w:rPr>
              <w:t>POST /appcontroller/appcontroller, services/update_service.py, services/update_state.py</w:t>
            </w:r>
          </w:p>
        </w:tc>
      </w:tr>
    </w:tbl>
    <w:p>
      <w:pPr>
        <w:spacing w:after="120"/>
      </w:pPr>
    </w:p>
    <w:p>
      <w:pPr>
        <w:spacing w:before="280" w:after="80"/>
      </w:pPr>
      <w:r>
        <w:rPr>
          <w:rFonts w:ascii="Arial" w:hAnsi="Arial"/>
          <w:b/>
          <w:color w:val="0F2942"/>
          <w:sz w:val="24"/>
        </w:rPr>
        <w:t>4. Non-Functional &amp; Operational Requirements</w:t>
      </w:r>
    </w:p>
    <w:p>
      <w:pPr>
        <w:pStyle w:val="ListBullet"/>
        <w:spacing w:before="0" w:after="80" w:line="276" w:lineRule="auto"/>
      </w:pPr>
      <w:r>
        <w:rPr>
          <w:rFonts w:ascii="Arial" w:hAnsi="Arial"/>
          <w:b/>
          <w:color w:val="2D3748"/>
          <w:sz w:val="19"/>
        </w:rPr>
        <w:t xml:space="preserve">System Performance: </w:t>
      </w:r>
      <w:r>
        <w:rPr>
          <w:rFonts w:ascii="Arial" w:hAnsi="Arial"/>
          <w:color w:val="334155"/>
          <w:sz w:val="19"/>
        </w:rPr>
        <w:t>Background tracking loop overhead must remain &lt; 1.0% CPU and &lt; 85 MB RAM memory footprint.</w:t>
      </w:r>
    </w:p>
    <w:p>
      <w:pPr>
        <w:pStyle w:val="ListBullet"/>
        <w:spacing w:before="0" w:after="80" w:line="276" w:lineRule="auto"/>
      </w:pPr>
      <w:r>
        <w:rPr>
          <w:rFonts w:ascii="Arial" w:hAnsi="Arial"/>
          <w:b/>
          <w:color w:val="2D3748"/>
          <w:sz w:val="19"/>
        </w:rPr>
        <w:t xml:space="preserve">Communication Security: </w:t>
      </w:r>
      <w:r>
        <w:rPr>
          <w:rFonts w:ascii="Arial" w:hAnsi="Arial"/>
          <w:color w:val="334155"/>
          <w:sz w:val="19"/>
        </w:rPr>
        <w:t>All external API traffic enforces TLS 1.2+ encryption with automated CA bundle discovery (init_ca_bundle).</w:t>
      </w:r>
    </w:p>
    <w:p>
      <w:pPr>
        <w:pStyle w:val="ListBullet"/>
        <w:spacing w:before="0" w:after="80" w:line="276" w:lineRule="auto"/>
      </w:pPr>
      <w:r>
        <w:rPr>
          <w:rFonts w:ascii="Arial" w:hAnsi="Arial"/>
          <w:b/>
          <w:color w:val="2D3748"/>
          <w:sz w:val="19"/>
        </w:rPr>
        <w:t xml:space="preserve">ACID Data Reliability: </w:t>
      </w:r>
      <w:r>
        <w:rPr>
          <w:rFonts w:ascii="Arial" w:hAnsi="Arial"/>
          <w:color w:val="334155"/>
          <w:sz w:val="19"/>
        </w:rPr>
        <w:t>Local SQLite database operates in Write-Ahead Logging (WAL) mode with 5000ms busy timeout to prevent database locks.</w:t>
      </w:r>
    </w:p>
    <w:p>
      <w:pPr>
        <w:pStyle w:val="ListBullet"/>
        <w:spacing w:before="0" w:after="80" w:line="276" w:lineRule="auto"/>
      </w:pPr>
      <w:r>
        <w:rPr>
          <w:rFonts w:ascii="Arial" w:hAnsi="Arial"/>
          <w:b/>
          <w:color w:val="2D3748"/>
          <w:sz w:val="19"/>
        </w:rPr>
        <w:t xml:space="preserve">Session Persistence: </w:t>
      </w:r>
      <w:r>
        <w:rPr>
          <w:rFonts w:ascii="Arial" w:hAnsi="Arial"/>
          <w:color w:val="334155"/>
          <w:sz w:val="19"/>
        </w:rPr>
        <w:t>Hardware/user-bound session encryption via Windows Credential Manager DPAPI and macOS Keychain ensures zero repeated logins across ordinary restarts.</w:t>
      </w:r>
    </w:p>
    <w:p>
      <w:pPr>
        <w:pStyle w:val="ListBullet"/>
        <w:spacing w:before="0" w:after="80" w:line="276" w:lineRule="auto"/>
      </w:pPr>
      <w:r>
        <w:rPr>
          <w:rFonts w:ascii="Arial" w:hAnsi="Arial"/>
          <w:b/>
          <w:color w:val="2D3748"/>
          <w:sz w:val="19"/>
        </w:rPr>
        <w:t xml:space="preserve">Cross-Platform Parity: </w:t>
      </w:r>
      <w:r>
        <w:rPr>
          <w:rFonts w:ascii="Arial" w:hAnsi="Arial"/>
          <w:color w:val="334155"/>
          <w:sz w:val="19"/>
        </w:rPr>
        <w:t>Unified Python/PySide6 codebase supporting Windows 10/11 x64 and macOS 11+ with zero OS-specific branching in UI widgets.</w:t>
      </w:r>
    </w:p>
    <w:p>
      <w:pPr>
        <w:pStyle w:val="ListBullet"/>
        <w:spacing w:before="0" w:after="80" w:line="276" w:lineRule="auto"/>
      </w:pPr>
      <w:r>
        <w:rPr>
          <w:rFonts w:ascii="Arial" w:hAnsi="Arial"/>
          <w:b/>
          <w:color w:val="2D3748"/>
          <w:sz w:val="19"/>
        </w:rPr>
        <w:t xml:space="preserve">Quality Standards: </w:t>
      </w:r>
      <w:r>
        <w:rPr>
          <w:rFonts w:ascii="Arial" w:hAnsi="Arial"/>
          <w:color w:val="334155"/>
          <w:sz w:val="19"/>
        </w:rPr>
        <w:t>Comprehensive test suite comprising 576 automated unit and integration tests executing on multi-platform CI/CD pipelines.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