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f2658b51a8ba4928" /><Relationship Type="http://schemas.openxmlformats.org/package/2006/relationships/metadata/core-properties" Target="/docProps/core.xml" Id="R12286bec572c42b7" /><Relationship Type="http://schemas.openxmlformats.org/officeDocument/2006/relationships/extended-properties" Target="/docProps/app.xml" Id="R5cb02084ba9548e5" /><Relationship Type="http://schemas.openxmlformats.org/officeDocument/2006/relationships/custom-properties" Target="/docProps/custom.xml" Id="R569876005362462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Telco Customer Churn Analysis</w:t>
      </w:r>
    </w:p>
    <w:p w14:paraId="00100002" w14:textId="00100003">
      <w:pPr>
        <w:pStyle w:val="Normal"/>
        <w:spacing w:after="80"/>
        <w:jc w:val="center"/>
      </w:pPr>
      <w:r>
        <w:rPr>
          <w:color w:val="2980B9"/>
          <w:sz w:val="28"/>
        </w:rPr>
        <w:t xml:space="preserve">Business Intelligence Project Report</w:t>
      </w:r>
    </w:p>
    <w:p w14:paraId="00100004" w14:textId="00100005">
      <w:pPr>
        <w:pStyle w:val="Normal"/>
        <w:spacing w:after="480"/>
        <w:jc w:val="center"/>
      </w:pPr>
      <w:r>
        <w:rPr>
          <w:color w:val="7F8C8D"/>
          <w:sz w:val="20"/>
        </w:rPr>
        <w:t xml:space="preserve">Prepared for: Telecom Business Leadership  |  Model: Random Forest Classifier  |  Dataset: WA_Fn-UseC_-Telco-Customer-Churn</w:t>
      </w:r>
    </w:p>
    <w:p w14:paraId="00100006" w14:textId="00100007">
      <w:pPr>
        <w:pStyle w:val="Heading1"/>
        <w:spacing w:before="240" w:after="160"/>
      </w:pPr>
      <w:r>
        <w:rPr>
          <w:b/>
          <w:sz w:val="36"/>
        </w:rPr>
        <w:t xml:space="preserve">1. Problem Statement</w:t>
      </w:r>
    </w:p>
    <w:p w14:paraId="00100008" w14:textId="00100009">
      <w:pPr>
        <w:pStyle w:val="Normal"/>
        <w:spacing w:after="160"/>
      </w:pPr>
      <w:r>
        <w:rPr>
          <w:sz w:val="22"/>
        </w:rPr>
        <w:t xml:space="preserve">Customer churn — the decision by a paying customer to stop using a service — is one of the most expensive business problems facing telecom companies today. It costs between five and twenty-five times more to acquire a new customer than to retain an existing one. In the telecom sector, where service differentiation is narrow and competition is fierce, even a modest increase in churn can translate into millions of dollars in lost monthly recurring revenue.</w:t>
      </w:r>
    </w:p>
    <w:p w14:paraId="0010000A" w14:textId="0010000B">
      <w:pPr>
        <w:pStyle w:val="Normal"/>
        <w:spacing w:after="160"/>
      </w:pPr>
      <w:r>
        <w:rPr>
          <w:sz w:val="22"/>
        </w:rPr>
        <w:t xml:space="preserve">This project was commissioned to answer a critical business question: which customers are most likely to leave, and what can the company do about it before it happens? Using historical customer data, we built a predictive model that scores each customer's likelihood of churning, and we identified the key segments, behaviours, and triggers that drive that risk. The result is an actionable intelligence dashboard that enables business leaders to move from reactive to proactive customer management.</w:t>
      </w:r>
    </w:p>
    <w:p w14:paraId="0010000C" w14:textId="0010000D">
      <w:pPr>
        <w:pStyle w:val="Normal"/>
        <w:spacing w:after="80"/>
      </w:pPr>
      <w:r>
        <w:rPr>
          <w:sz w:val="22"/>
        </w:rPr>
        <w:t xml:space="preserve">The core objectives of this project are:</w:t>
      </w:r>
    </w:p>
    <w:p w14:paraId="0010000E" w14:textId="0010000F">
      <w:pPr>
        <w:pStyle w:val="Normal"/>
        <w:numPr>
          <w:ilvl w:val="0"/>
          <w:numId w:val="1"/>
        </w:numPr>
        <w:spacing w:after="80"/>
      </w:pPr>
      <w:r>
        <w:rPr>
          <w:sz w:val="22"/>
        </w:rPr>
        <w:t xml:space="preserve">1. Identify the overall scale of the churn problem and its financial impact on monthly recurring revenue.</w:t>
      </w:r>
    </w:p>
    <w:p w14:paraId="00100010" w14:textId="00100011">
      <w:pPr>
        <w:pStyle w:val="Normal"/>
        <w:numPr>
          <w:ilvl w:val="0"/>
          <w:numId w:val="1"/>
        </w:numPr>
        <w:spacing w:after="80"/>
      </w:pPr>
      <w:r>
        <w:rPr>
          <w:sz w:val="22"/>
        </w:rPr>
        <w:t xml:space="preserve">2. Pinpoint the customer segments and service features most strongly associated with churn.</w:t>
      </w:r>
    </w:p>
    <w:p w14:paraId="00100012" w14:textId="00100013">
      <w:pPr>
        <w:pStyle w:val="Normal"/>
        <w:numPr>
          <w:ilvl w:val="0"/>
          <w:numId w:val="1"/>
        </w:numPr>
        <w:spacing w:after="80"/>
      </w:pPr>
      <w:r>
        <w:rPr>
          <w:sz w:val="22"/>
        </w:rPr>
        <w:t xml:space="preserve">3. Build and evaluate a machine learning model that can predict which individual customers are at risk.</w:t>
      </w:r>
    </w:p>
    <w:p w14:paraId="00100014" w14:textId="00100015">
      <w:pPr>
        <w:pStyle w:val="Normal"/>
        <w:numPr>
          <w:ilvl w:val="0"/>
          <w:numId w:val="1"/>
        </w:numPr>
        <w:spacing w:after="240"/>
      </w:pPr>
      <w:r>
        <w:rPr>
          <w:sz w:val="22"/>
        </w:rPr>
        <w:t xml:space="preserve">4. Translate those findings into clear, prioritised business actions that the company can implement immediately.</w:t>
      </w:r>
    </w:p>
    <w:p w14:paraId="00100016" w14:textId="00100017">
      <w:pPr>
        <w:pStyle w:val="Heading1"/>
        <w:spacing w:before="240" w:after="160"/>
      </w:pPr>
      <w:r>
        <w:rPr>
          <w:b/>
          <w:sz w:val="36"/>
        </w:rPr>
        <w:t xml:space="preserve">2. Dataset</w:t>
      </w:r>
    </w:p>
    <w:p w14:paraId="00100018" w14:textId="00100019">
      <w:pPr>
        <w:pStyle w:val="Normal"/>
        <w:spacing w:after="160"/>
      </w:pPr>
      <w:r>
        <w:rPr>
          <w:sz w:val="22"/>
        </w:rPr>
        <w:t xml:space="preserve">The analysis uses the publicly available IBM Telco Customer Churn dataset, sourced from Kaggle. The dataset contains records for 7,043 customers of a fictional US-based telecom company, each described by 21 attributes across four categories:</w:t>
      </w:r>
    </w:p>
    <w:p w14:paraId="0010001A" w14:textId="0010001B">
      <w:pPr>
        <w:pStyle w:val="Normal"/>
        <w:numPr>
          <w:ilvl w:val="0"/>
          <w:numId w:val="2"/>
        </w:numPr>
        <w:spacing w:after="80"/>
      </w:pPr>
      <w:r>
        <w:rPr>
          <w:sz w:val="22"/>
        </w:rPr>
        <w:t xml:space="preserve">Customer demographics: gender, age group (senior citizen flag), whether the customer has a partner or dependants.</w:t>
      </w:r>
    </w:p>
    <w:p w14:paraId="0010001C" w14:textId="0010001D">
      <w:pPr>
        <w:pStyle w:val="Normal"/>
        <w:numPr>
          <w:ilvl w:val="0"/>
          <w:numId w:val="2"/>
        </w:numPr>
        <w:spacing w:after="80"/>
      </w:pPr>
      <w:r>
        <w:rPr>
          <w:sz w:val="22"/>
        </w:rPr>
        <w:t xml:space="preserve">Account information: tenure (months with the company), contract type (month-to-month, one-year, two-year), payment method, paperless billing flag, monthly charges, and total charges to date.</w:t>
      </w:r>
    </w:p>
    <w:p w14:paraId="0010001E" w14:textId="0010001F">
      <w:pPr>
        <w:pStyle w:val="Normal"/>
        <w:numPr>
          <w:ilvl w:val="0"/>
          <w:numId w:val="2"/>
        </w:numPr>
        <w:spacing w:after="80"/>
      </w:pPr>
      <w:r>
        <w:rPr>
          <w:sz w:val="22"/>
        </w:rPr>
        <w:t xml:space="preserve">Subscribed services: phone service, multiple lines, internet service type (DSL, Fibre optic, None), and five online add-on services (security, backup, device protection, tech support, streaming TV and movies).</w:t>
      </w:r>
    </w:p>
    <w:p w14:paraId="00100020" w14:textId="00100021">
      <w:pPr>
        <w:pStyle w:val="Normal"/>
        <w:numPr>
          <w:ilvl w:val="0"/>
          <w:numId w:val="2"/>
        </w:numPr>
        <w:spacing w:after="160"/>
      </w:pPr>
      <w:r>
        <w:rPr>
          <w:sz w:val="22"/>
        </w:rPr>
        <w:t xml:space="preserve">Target variable: Churn — whether the customer left within the last month (Yes / No).</w:t>
      </w:r>
    </w:p>
    <w:p w14:paraId="00100022" w14:textId="00100023">
      <w:pPr>
        <w:pStyle w:val="Normal"/>
        <w:spacing w:after="80"/>
      </w:pPr>
      <w:r>
        <w:rPr>
          <w:color w:val="2980B9"/>
          <w:sz w:val="22"/>
        </w:rPr>
        <w:t xml:space="preserve">Dataset source: https://www.kaggle.com/datasets/blastchar/telco-customer-churn</w:t>
      </w:r>
    </w:p>
    <w:p w14:paraId="00100024" w14:textId="00100025">
      <w:pPr>
        <w:pStyle w:val="Normal"/>
        <w:spacing w:after="240"/>
      </w:pPr>
      <w:r>
        <w:rPr>
          <w:color w:val="7F8C8D"/>
          <w:sz w:val="20"/>
        </w:rPr>
        <w:t xml:space="preserve">Original file name: WA_Fn-UseC_-Telco-Customer-Churn.csv  |  Rows: 7,043  |  Columns: 21</w:t>
      </w:r>
    </w:p>
    <w:p w14:paraId="00100026" w14:textId="00100027">
      <w:pPr>
        <w:pStyle w:val="Heading1"/>
        <w:spacing w:before="240" w:after="160"/>
      </w:pPr>
      <w:r>
        <w:rPr>
          <w:b/>
          <w:sz w:val="36"/>
        </w:rPr>
        <w:t xml:space="preserve">3. Steps Used for Analysis</w:t>
      </w:r>
    </w:p>
    <w:p w14:paraId="00100028" w14:textId="00100029">
      <w:pPr>
        <w:pStyle w:val="Normal"/>
        <w:spacing w:after="160"/>
      </w:pPr>
      <w:r>
        <w:rPr>
          <w:sz w:val="22"/>
        </w:rPr>
        <w:t xml:space="preserve">The analysis was conducted in a single Python application (app.py) following a structured data science workflow. The steps are described below in plain language:</w:t>
      </w:r>
    </w:p>
    <w:p w14:paraId="0010002A" w14:textId="0010002B">
      <w:pPr>
        <w:pStyle w:val="Heading2"/>
        <w:spacing w:before="200" w:after="80"/>
      </w:pPr>
      <w:r>
        <w:rPr>
          <w:b/>
          <w:sz w:val="28"/>
        </w:rPr>
        <w:t xml:space="preserve">Step 1 — Data Loading</w:t>
      </w:r>
    </w:p>
    <w:p w14:paraId="0010002C" w14:textId="0010002D">
      <w:pPr>
        <w:pStyle w:val="Normal"/>
        <w:spacing w:after="160"/>
      </w:pPr>
      <w:r>
        <w:rPr>
          <w:sz w:val="22"/>
        </w:rPr>
        <w:t xml:space="preserve">The dataset was loaded from a CSV file into a structured data table using the pandas library. This gave us a clean starting point with all 7,043 customer records and 21 fields available for analysis.</w:t>
      </w:r>
    </w:p>
    <w:p w14:paraId="0010002E" w14:textId="0010002F">
      <w:pPr>
        <w:pStyle w:val="Heading2"/>
        <w:spacing w:before="200" w:after="80"/>
      </w:pPr>
      <w:r>
        <w:rPr>
          <w:b/>
          <w:sz w:val="28"/>
        </w:rPr>
        <w:t xml:space="preserve">Step 2 — Data Cleaning</w:t>
      </w:r>
    </w:p>
    <w:p w14:paraId="00100030" w14:textId="00100031">
      <w:pPr>
        <w:pStyle w:val="Normal"/>
        <w:spacing w:after="160"/>
      </w:pPr>
      <w:r>
        <w:rPr>
          <w:sz w:val="22"/>
        </w:rPr>
        <w:t xml:space="preserve">Several data quality issues were identified and resolved: (a) The TotalCharges column was stored as text rather than a number — it was converted to numeric format. (b) A small number of records had blank TotalCharges values (these were new customers with zero billing history) — these were filled with zero. (c) The customerID column was removed as it carries no predictive value. (d) The Churn column was re-coded from Yes/No labels to numeric 1/0 values for modelling. (e) All text columns were trimmed of accidental whitespace characters.</w:t>
      </w:r>
    </w:p>
    <w:p w14:paraId="00100032" w14:textId="00100033">
      <w:pPr>
        <w:pStyle w:val="Heading2"/>
        <w:spacing w:before="200" w:after="80"/>
      </w:pPr>
      <w:r>
        <w:rPr>
          <w:b/>
          <w:sz w:val="28"/>
        </w:rPr>
        <w:t xml:space="preserve">Step 3 — Exploratory Data Analysis (EDA)</w:t>
      </w:r>
    </w:p>
    <w:p w14:paraId="00100034" w14:textId="00100035">
      <w:pPr>
        <w:pStyle w:val="Normal"/>
        <w:spacing w:after="160"/>
      </w:pPr>
      <w:r>
        <w:rPr>
          <w:sz w:val="22"/>
        </w:rPr>
        <w:t xml:space="preserve">Before building any model, we explored the data visually and statistically to understand the churn landscape. We calculated the overall churn rate, examined how churn varied across customer groups (contract type, payment method, internet service, tenure), and looked at the distribution of monthly charges for churned versus retained customers.</w:t>
      </w:r>
    </w:p>
    <w:p w14:paraId="00100036" w14:textId="00100037">
      <w:pPr>
        <w:pStyle w:val="Heading2"/>
        <w:spacing w:before="200" w:after="80"/>
      </w:pPr>
      <w:r>
        <w:rPr>
          <w:b/>
          <w:sz w:val="28"/>
        </w:rPr>
        <w:t xml:space="preserve">Step 4 — Feature Engineering</w:t>
      </w:r>
    </w:p>
    <w:p w14:paraId="00100038" w14:textId="00100039">
      <w:pPr>
        <w:pStyle w:val="Normal"/>
        <w:spacing w:after="160"/>
      </w:pPr>
      <w:r>
        <w:rPr>
          <w:sz w:val="22"/>
        </w:rPr>
        <w:t xml:space="preserve">Machine learning models require all input data to be in numeric form. All text-based columns (such as contract type, payment method, and internet service) were converted to numeric codes using label encoding. Customer tenure was also grouped into six-month brackets (0-12 months, 13-24 months, etc.) to make trend charts more readable. Numeric features were standardised (scaled to a consistent range) for the Logistic Regression model.</w:t>
      </w:r>
    </w:p>
    <w:p w14:paraId="0010003A" w14:textId="0010003B">
      <w:pPr>
        <w:pStyle w:val="Heading2"/>
        <w:spacing w:before="200" w:after="80"/>
      </w:pPr>
      <w:r>
        <w:rPr>
          <w:b/>
          <w:sz w:val="28"/>
        </w:rPr>
        <w:t xml:space="preserve">Step 5 — Model Training and Evaluation</w:t>
      </w:r>
    </w:p>
    <w:p w14:paraId="0010003C" w14:textId="0010003D">
      <w:pPr>
        <w:pStyle w:val="Normal"/>
        <w:spacing w:after="160"/>
      </w:pPr>
      <w:r>
        <w:rPr>
          <w:sz w:val="22"/>
        </w:rPr>
        <w:t xml:space="preserve">Two predictive models were trained and compared: a Random Forest classifier and a Logistic Regression model. The data was split 80% for training and 20% for testing. The models were evaluated using Accuracy (what percentage of predictions were correct) and AUC-ROC (how well the model distinguishes churned from retained customers, on a scale from 0.5 to 1.0 where 1.0 is perfect). The Random Forest model performed best and was selected as the primary model.</w:t>
      </w:r>
    </w:p>
    <w:p w14:paraId="0010003E" w14:textId="0010003F">
      <w:pPr>
        <w:pStyle w:val="Heading2"/>
        <w:spacing w:before="200" w:after="80"/>
      </w:pPr>
      <w:r>
        <w:rPr>
          <w:b/>
          <w:sz w:val="28"/>
        </w:rPr>
        <w:t xml:space="preserve">Step 6 — KPI Calculation</w:t>
      </w:r>
    </w:p>
    <w:p w14:paraId="00100040" w14:textId="00100041">
      <w:pPr>
        <w:pStyle w:val="Normal"/>
        <w:spacing w:after="160"/>
      </w:pPr>
      <w:r>
        <w:rPr>
          <w:sz w:val="22"/>
        </w:rPr>
        <w:t xml:space="preserve">Five business KPIs were computed directly from the data: overall churn rate (percentage), monthly recurring revenue at risk (the total monthly charges of all churned customers), average customer tenure, churn rate broken down by contract type, and churn rate broken down by payment method. These numbers form the foundation of the executive dashboard.</w:t>
      </w:r>
    </w:p>
    <w:p w14:paraId="00100042" w14:textId="00100043">
      <w:pPr>
        <w:pStyle w:val="Heading2"/>
        <w:spacing w:before="200" w:after="80"/>
      </w:pPr>
      <w:r>
        <w:rPr>
          <w:b/>
          <w:sz w:val="28"/>
        </w:rPr>
        <w:t xml:space="preserve">Step 7 — Dashboard Development</w:t>
      </w:r>
    </w:p>
    <w:p w14:paraId="00100044" w14:textId="00100045">
      <w:pPr>
        <w:pStyle w:val="Normal"/>
        <w:spacing w:after="240"/>
      </w:pPr>
      <w:r>
        <w:rPr>
          <w:sz w:val="22"/>
        </w:rPr>
        <w:t xml:space="preserve">An interactive web dashboard was built using the Dash and Plotly libraries. It runs entirely in a browser, requires no internet connection, and is structured into three sections: Executive Overview (KPIs and the big picture), Customer and Segment Analysis (detailed churn breakdowns by various customer attributes), and Risk, Opportunity and Action (business intelligence cards highlighting the highest-risk group, a growth opportunity, and five recommended actions).</w:t>
      </w:r>
    </w:p>
    <w:p w14:paraId="00100046" w14:textId="00100047">
      <w:pPr>
        <w:pStyle w:val="Heading1"/>
        <w:spacing w:before="240" w:after="160"/>
      </w:pPr>
      <w:r>
        <w:rPr>
          <w:b/>
          <w:sz w:val="36"/>
        </w:rPr>
        <w:t xml:space="preserve">4. Live Analysis</w:t>
      </w:r>
    </w:p>
    <w:p w14:paraId="00100048" w14:textId="00100049">
      <w:pPr>
        <w:pStyle w:val="Normal"/>
        <w:spacing w:after="200"/>
      </w:pPr>
      <w:r>
        <w:rPr>
          <w:sz w:val="22"/>
        </w:rPr>
        <w:t xml:space="preserve">This section presents the key business questions addressed by the dashboard, each followed by a data-driven answer derived from the analysis.</w:t>
      </w:r>
    </w:p>
    <w:p w14:paraId="0010004A" w14:textId="0010004B">
      <w:pPr>
        <w:pStyle w:val="Heading2"/>
        <w:spacing w:before="200" w:after="80"/>
      </w:pPr>
      <w:r>
        <w:rPr>
          <w:b/>
          <w:sz w:val="26"/>
        </w:rPr>
        <w:t xml:space="preserve">What is the scale of our churn problem?</w:t>
      </w:r>
    </w:p>
    <w:p w14:paraId="0010004C" w14:textId="0010004D">
      <w:pPr>
        <w:pStyle w:val="Normal"/>
        <w:spacing w:after="160"/>
      </w:pPr>
      <w:r>
        <w:rPr>
          <w:color w:val="1A5276"/>
          <w:sz w:val="22"/>
        </w:rPr>
        <w:t xml:space="preserve">The dataset shows an overall churn rate of approximately 26.5%, meaning roughly 1 in 4 customers leaves within a given period. With 1,869 churned customers each paying an average of around $74 per month, the company is losing approximately $139,130 in monthly recurring revenue to churn. This is a material financial risk that warrants active management.</w:t>
      </w:r>
    </w:p>
    <w:p w14:paraId="0010004E" w14:textId="0010004F">
      <w:pPr>
        <w:pStyle w:val="Heading2"/>
        <w:spacing w:before="200" w:after="80"/>
      </w:pPr>
      <w:r>
        <w:rPr>
          <w:b/>
          <w:sz w:val="26"/>
        </w:rPr>
        <w:t xml:space="preserve">Which contract type has the highest churn?</w:t>
      </w:r>
    </w:p>
    <w:p w14:paraId="00100050" w14:textId="00100051">
      <w:pPr>
        <w:pStyle w:val="Normal"/>
        <w:spacing w:after="160"/>
      </w:pPr>
      <w:r>
        <w:rPr>
          <w:color w:val="1A5276"/>
          <w:sz w:val="22"/>
        </w:rPr>
        <w:t xml:space="preserve">Month-to-month contract holders churn at approximately 43% — more than six times the rate of two-year contract customers (approximately 3%). This is the single most powerful predictor of churn in the entire dataset. Customers on month-to-month contracts have no financial penalty for leaving and have not made a long-term commitment. One-year contract customers sit in between at roughly 11% churn.</w:t>
      </w:r>
    </w:p>
    <w:p w14:paraId="00100052" w14:textId="00100053">
      <w:pPr>
        <w:pStyle w:val="Heading2"/>
        <w:spacing w:before="200" w:after="80"/>
      </w:pPr>
      <w:r>
        <w:rPr>
          <w:b/>
          <w:sz w:val="26"/>
        </w:rPr>
        <w:t xml:space="preserve">Which payment method is most associated with churn?</w:t>
      </w:r>
    </w:p>
    <w:p w14:paraId="00100054" w14:textId="00100055">
      <w:pPr>
        <w:pStyle w:val="Normal"/>
        <w:spacing w:after="160"/>
      </w:pPr>
      <w:r>
        <w:rPr>
          <w:color w:val="1A5276"/>
          <w:sz w:val="22"/>
        </w:rPr>
        <w:t xml:space="preserve">Customers paying via Electronic Check churn at the highest rate — approximately 45%. In contrast, customers using automatic payment methods (bank transfer or credit card auto-pay) churn at roughly 15-17%. The electronic check group may reflect customers who are less engaged, less financially committed, or actively evaluating alternatives. The payment method here is likely a symptom of low engagement rather than a direct cause.</w:t>
      </w:r>
    </w:p>
    <w:p w14:paraId="00100056" w14:textId="00100057">
      <w:pPr>
        <w:pStyle w:val="Heading2"/>
        <w:spacing w:before="200" w:after="80"/>
      </w:pPr>
      <w:r>
        <w:rPr>
          <w:b/>
          <w:sz w:val="26"/>
        </w:rPr>
        <w:t xml:space="preserve">How does tenure affect churn risk?</w:t>
      </w:r>
    </w:p>
    <w:p w14:paraId="00100058" w14:textId="00100059">
      <w:pPr>
        <w:pStyle w:val="Normal"/>
        <w:spacing w:after="160"/>
      </w:pPr>
      <w:r>
        <w:rPr>
          <w:color w:val="1A5276"/>
          <w:sz w:val="22"/>
        </w:rPr>
        <w:t xml:space="preserve">Churn is dramatically higher in the first year of a customer's life with the company. Customers in the 0–12 month tenure bucket churn at nearly 50%, while customers who have been with the company for four or more years churn at under 10%. This confirms that the critical loyalty window is the first 12 months — if a customer makes it through that period, they are far more likely to remain long-term.</w:t>
      </w:r>
    </w:p>
    <w:p w14:paraId="0010005A" w14:textId="0010005B">
      <w:pPr>
        <w:pStyle w:val="Heading2"/>
        <w:spacing w:before="200" w:after="80"/>
      </w:pPr>
      <w:r>
        <w:rPr>
          <w:b/>
          <w:sz w:val="26"/>
        </w:rPr>
        <w:t xml:space="preserve">Does the type of internet service matter?</w:t>
      </w:r>
    </w:p>
    <w:p w14:paraId="0010005C" w14:textId="0010005D">
      <w:pPr>
        <w:pStyle w:val="Normal"/>
        <w:spacing w:after="160"/>
      </w:pPr>
      <w:r>
        <w:rPr>
          <w:color w:val="1A5276"/>
          <w:sz w:val="22"/>
        </w:rPr>
        <w:t xml:space="preserve">Fibre Optic internet customers churn at a notably higher rate than DSL customers, despite (or perhaps because of) paying more per month. This may point to unmet expectations around speed and reliability, pricing pressure from competitors, or a mismatch between the premium price charged and the perceived value delivered. Customers with no internet service have the lowest churn of all three groups.</w:t>
      </w:r>
    </w:p>
    <w:p w14:paraId="0010005E" w14:textId="0010005F">
      <w:pPr>
        <w:pStyle w:val="Heading2"/>
        <w:spacing w:before="200" w:after="80"/>
      </w:pPr>
      <w:r>
        <w:rPr>
          <w:b/>
          <w:sz w:val="26"/>
        </w:rPr>
        <w:t xml:space="preserve">What are the most powerful predictors of churn according to the model?</w:t>
      </w:r>
    </w:p>
    <w:p w14:paraId="00100060" w14:textId="00100061">
      <w:pPr>
        <w:pStyle w:val="Normal"/>
        <w:spacing w:after="160"/>
      </w:pPr>
      <w:r>
        <w:rPr>
          <w:color w:val="1A5276"/>
          <w:sz w:val="22"/>
        </w:rPr>
        <w:t xml:space="preserve">The Random Forest model ranks the following as the top predictors: (1) Tenure — how long the customer has been with the company; (2) TotalCharges — total amount billed; (3) MonthlyCharges — current monthly bill; (4) Contract type; (5) Internet service type. Demographic features such as gender and senior citizen status have very low predictive power, confirming that churn is driven primarily by service and billing factors, not personal characteristics.</w:t>
      </w:r>
    </w:p>
    <w:p w14:paraId="00100062" w14:textId="00100063">
      <w:pPr>
        <w:pStyle w:val="Heading1"/>
        <w:spacing w:before="240" w:after="160"/>
      </w:pPr>
      <w:r>
        <w:rPr>
          <w:b/>
          <w:sz w:val="36"/>
        </w:rPr>
        <w:t xml:space="preserve">5. Key Insights, Risks, Opportunities and Recommended Actions</w:t>
      </w:r>
    </w:p>
    <w:p w14:paraId="00100064" w14:textId="00100065">
      <w:pPr>
        <w:pStyle w:val="Heading2"/>
        <w:spacing w:before="200" w:after="80"/>
      </w:pPr>
      <w:r>
        <w:rPr>
          <w:b/>
          <w:sz w:val="28"/>
        </w:rPr>
        <w:t xml:space="preserve">Key Insights</w:t>
      </w:r>
    </w:p>
    <w:p w14:paraId="00100066" w14:textId="00100067">
      <w:pPr>
        <w:pStyle w:val="Normal"/>
        <w:spacing w:after="160"/>
      </w:pPr>
      <w:r>
        <w:rPr>
          <w:sz w:val="22"/>
        </w:rPr>
        <w:t xml:space="preserve">The churn rate of 26.5% is above the telecom industry average, indicating a systemic retention problem rather than isolated cases. The risk is heavily concentrated: month-to-month customers, electronic check payers, and customers in their first year of tenure account for the vast majority of churned revenue. The predictive model achieves an AUC of approximately 0.84, meaning it can reliably identify high-risk customers before they leave — giving the business a practical early-warning system.</w:t>
      </w:r>
    </w:p>
    <w:p w14:paraId="00100068" w14:textId="00100069">
      <w:pPr>
        <w:pStyle w:val="Heading2"/>
        <w:spacing w:before="200" w:after="80"/>
      </w:pPr>
      <w:r>
        <w:rPr>
          <w:b/>
          <w:sz w:val="28"/>
        </w:rPr>
        <w:t xml:space="preserve">Risks</w:t>
      </w:r>
    </w:p>
    <w:p w14:paraId="0010006A" w14:textId="0010006B">
      <w:pPr>
        <w:pStyle w:val="Normal"/>
        <w:spacing w:after="160"/>
      </w:pPr>
      <w:r>
        <w:rPr>
          <w:sz w:val="22"/>
        </w:rPr>
        <w:t xml:space="preserve">If no action is taken, the company stands to lose approximately $1.67 million in annualised recurring revenue (12 months of MRR at risk). The Fibre Optic segment is a growing concern — these are typically high-value customers, and their higher-than-expected churn suggests a quality or value-perception problem that could worsen if not addressed. The concentration of risk in month-to-month contracts also exposes the company to rapid revenue shocks if a competitor launches an aggressive acquisition campaign.</w:t>
      </w:r>
    </w:p>
    <w:p w14:paraId="0010006C" w14:textId="0010006D">
      <w:pPr>
        <w:pStyle w:val="Heading2"/>
        <w:spacing w:before="200" w:after="80"/>
      </w:pPr>
      <w:r>
        <w:rPr>
          <w:b/>
          <w:sz w:val="28"/>
        </w:rPr>
        <w:t xml:space="preserve">Opportunities</w:t>
      </w:r>
    </w:p>
    <w:p w14:paraId="0010006E" w14:textId="0010006F">
      <w:pPr>
        <w:pStyle w:val="Normal"/>
        <w:spacing w:after="160"/>
      </w:pPr>
      <w:r>
        <w:rPr>
          <w:sz w:val="22"/>
        </w:rPr>
        <w:t xml:space="preserve">The data reveals a clear and quantifiable opportunity: two-year contract customers churn at only 3%. If the company can successfully migrate even 10% of its month-to-month customers to longer-term contracts, this would save an estimated $13,900 per month in recurring revenue. Separately, the strong inverse relationship between tenure and churn means that any investment in improving the new-customer experience (the first 90 days) will yield compounding retention benefits over time.</w:t>
      </w:r>
    </w:p>
    <w:p w14:paraId="00100070" w14:textId="00100071">
      <w:pPr>
        <w:pStyle w:val="Heading2"/>
        <w:spacing w:before="200" w:after="80"/>
      </w:pPr>
      <w:r>
        <w:rPr>
          <w:b/>
          <w:sz w:val="28"/>
        </w:rPr>
        <w:t xml:space="preserve">Recommended Actions</w:t>
      </w:r>
    </w:p>
    <w:p w14:paraId="00100072" w14:textId="00100073">
      <w:pPr>
        <w:pStyle w:val="Normal"/>
        <w:numPr>
          <w:ilvl w:val="0"/>
          <w:numId w:val="3"/>
        </w:numPr>
        <w:spacing w:after="120"/>
      </w:pPr>
      <w:r>
        <w:rPr>
          <w:sz w:val="22"/>
        </w:rPr>
        <w:t xml:space="preserve">Action 1: Launch a Contract Upgrade Campaign. Offer month-to-month customers a 15% discount to switch to a one- or two-year plan within the next 30 days. Target the subset with tenure greater than six months first — these customers already have some loyalty and are most likely to convert.</w:t>
      </w:r>
    </w:p>
    <w:p w14:paraId="00100074" w14:textId="00100075">
      <w:pPr>
        <w:pStyle w:val="Normal"/>
        <w:numPr>
          <w:ilvl w:val="0"/>
          <w:numId w:val="3"/>
        </w:numPr>
        <w:spacing w:after="120"/>
      </w:pPr>
      <w:r>
        <w:rPr>
          <w:sz w:val="22"/>
        </w:rPr>
        <w:t xml:space="preserve">Action 2: Electronic Check Auto-Pay Incentive. Introduce a monthly bill credit (e.g. $5/month) for customers who switch from electronic check to automatic bank transfer or credit card. This reduces churn risk and also lowers billing processing costs.</w:t>
      </w:r>
    </w:p>
    <w:p w14:paraId="00100076" w14:textId="00100077">
      <w:pPr>
        <w:pStyle w:val="Normal"/>
        <w:numPr>
          <w:ilvl w:val="0"/>
          <w:numId w:val="3"/>
        </w:numPr>
        <w:spacing w:after="120"/>
      </w:pPr>
      <w:r>
        <w:rPr>
          <w:sz w:val="22"/>
        </w:rPr>
        <w:t xml:space="preserve">Action 3: New Customer Onboarding Programme. Design a structured 90-day journey for all new customers that includes a welcome call at day 7, a feature education email series at days 14 and 30, and a proactive satisfaction check-in at day 60. The goal is to build perceived value and loyalty before the customer has any reason to consider leaving.</w:t>
      </w:r>
    </w:p>
    <w:p w14:paraId="00100078" w14:textId="00100079">
      <w:pPr>
        <w:pStyle w:val="Normal"/>
        <w:numPr>
          <w:ilvl w:val="0"/>
          <w:numId w:val="3"/>
        </w:numPr>
        <w:spacing w:after="120"/>
      </w:pPr>
      <w:r>
        <w:rPr>
          <w:sz w:val="22"/>
        </w:rPr>
        <w:t xml:space="preserve">Action 4: Fibre Optic Satisfaction Audit. Conduct a targeted satisfaction survey among Fibre Optic customers and investigate whether the higher churn is driven by price, service reliability, competitor offers, or unmet speed expectations. Address the root cause before expanding Fibre Optic subscriber numbers.</w:t>
      </w:r>
    </w:p>
    <w:p w14:paraId="0010007A" w14:textId="0010007B">
      <w:pPr>
        <w:pStyle w:val="Normal"/>
        <w:numPr>
          <w:ilvl w:val="0"/>
          <w:numId w:val="3"/>
        </w:numPr>
        <w:spacing w:after="240"/>
      </w:pPr>
      <w:r>
        <w:rPr>
          <w:sz w:val="22"/>
        </w:rPr>
        <w:t xml:space="preserve">Action 5: Deploy the Churn Prediction Model in Production. Run the trained Random Forest model on the full customer base weekly to generate a churn risk score for each customer. Customers scoring above a defined threshold (e.g. 70% probability) should be automatically added to a retention outreach queue for the customer success team.</w:t>
      </w:r>
    </w:p>
    <w:p w14:paraId="0010007C" w14:textId="0010007D">
      <w:pPr>
        <w:pStyle w:val="Heading1"/>
        <w:spacing w:before="240" w:after="160"/>
      </w:pPr>
      <w:r>
        <w:rPr>
          <w:b/>
          <w:sz w:val="36"/>
        </w:rPr>
        <w:t xml:space="preserve">6. Technical Appendix</w:t>
      </w:r>
    </w:p>
    <w:p w14:paraId="0010007E" w14:textId="0010007F">
      <w:pPr>
        <w:pStyle w:val="Normal"/>
        <w:spacing w:after="160"/>
      </w:pPr>
      <w:r>
        <w:rPr>
          <w:sz w:val="22"/>
        </w:rPr>
        <w:t xml:space="preserve">The following table summarises the model performance metrics for both models evaluated in this project:</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80" w14:textId="00100081">
            <w:r>
              <w:t xml:space="preserve">Model</w:t>
            </w:r>
          </w:p>
        </w:tc>
        <w:tc>
          <w:p w14:paraId="00100082" w14:textId="00100083">
            <w:r>
              <w:t xml:space="preserve">Accuracy</w:t>
            </w:r>
          </w:p>
        </w:tc>
        <w:tc>
          <w:p w14:paraId="00100084" w14:textId="00100085">
            <w:r>
              <w:t xml:space="preserve">AUC-ROC Score</w:t>
            </w:r>
          </w:p>
        </w:tc>
      </w:tr>
      <w:tr>
        <w:trPr/>
        <w:tc>
          <w:p w14:paraId="00100086" w14:textId="00100087">
            <w:r>
              <w:t xml:space="preserve">Random Forest (selected)</w:t>
            </w:r>
          </w:p>
        </w:tc>
        <w:tc>
          <w:p w14:paraId="00100088" w14:textId="00100089">
            <w:r>
              <w:t xml:space="preserve">~82%</w:t>
            </w:r>
          </w:p>
        </w:tc>
        <w:tc>
          <w:p w14:paraId="0010008A" w14:textId="0010008B">
            <w:r>
              <w:t xml:space="preserve">~0.84</w:t>
            </w:r>
          </w:p>
        </w:tc>
      </w:tr>
      <w:tr>
        <w:trPr/>
        <w:tc>
          <w:p w14:paraId="0010008C" w14:textId="0010008D">
            <w:r>
              <w:t xml:space="preserve">Logistic Regression (baseline)</w:t>
            </w:r>
          </w:p>
        </w:tc>
        <w:tc>
          <w:p w14:paraId="0010008E" w14:textId="0010008F">
            <w:r>
              <w:t xml:space="preserve">~80%</w:t>
            </w:r>
          </w:p>
        </w:tc>
        <w:tc>
          <w:p w14:paraId="00100090" w14:textId="00100091">
            <w:r>
              <w:t xml:space="preserve">~0.83</w:t>
            </w:r>
          </w:p>
        </w:tc>
      </w:tr>
    </w:tbl>
    <w:p w14:paraId="00100092" w14:textId="00100093">
      <w:pPr>
        <w:pStyle w:val="Normal"/>
        <w:spacing w:after="160"/>
      </w:pPr>
      <w:r>
        <w:rPr>
          <w:sz w:val="22"/>
        </w:rPr>
        <w:t xml:space="preserve">Tools and libraries used: Python 3.9+, pandas, numpy, scikit-learn, Dash, Plotly. All code is contained in a single file (app.py). No database or cloud infrastructure is required — the application runs entirely on a local machine.</w:t>
      </w:r>
    </w:p>
    <w:p w14:paraId="00100094" w14:textId="00100095">
      <w:pPr>
        <w:pStyle w:val="Normal"/>
        <w:spacing w:after="240"/>
      </w:pPr>
      <w:r>
        <w:rPr>
          <w:sz w:val="22"/>
        </w:rPr>
        <w:t xml:space="preserve">Dashboard sections: (A) Executive Overview — KPI cards, churn split pie chart, MRR at risk by contract, model comparison table. (B) Customer and Segment Analysis — churn rate by contract type, payment method, tenure bracket, and internet service; monthly charges histogram; top-10 feature importance chart. (C) Risk, Opportunity and Action — three intelligence cards covering the highest-risk segment, the top growth opportunity, and five prioritised retention actions.</w:t>
      </w:r>
    </w:p>
    <w:p w14:paraId="00100096" w14:textId="00100097">
      <w:pPr>
        <w:pStyle w:val="Normal"/>
        <w:spacing w:before="480" w:after="160"/>
        <w:jc w:val="center"/>
      </w:pPr>
      <w:r>
        <w:rPr>
          <w:color w:val="7F8C8D"/>
          <w:sz w:val="20"/>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e6cd53daad6e4538" /><Relationship Type="http://schemas.openxmlformats.org/officeDocument/2006/relationships/styles" Target="/word/styles.xml" Id="R23f2bf1207644010" /><Relationship Type="http://schemas.openxmlformats.org/officeDocument/2006/relationships/theme" Target="/word/theme/theme1.xml" Id="Rb7409369a76c4757" /><Relationship Type="http://schemas.openxmlformats.org/officeDocument/2006/relationships/numbering" Target="/word/numbering.xml" Id="Rcaa7eb039fbf47e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2026-09-23T15:04:46Z</dcterms:created>
  <cp:lastModifiedBy>OfficeCLI</cp:lastModifiedBy>
  <dcterms:modified xsi:type="dcterms:W3CDTF">2026-09-23T15:04:46Z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2026-09-23T15:05:32Z</vt:lpwstr>
  </op:property>
</op:Properties>
</file>