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Reference Architecture vs. Codify the Bank</w:t>
      </w:r>
    </w:p>
    <w:p>
      <w:pPr>
        <w:pStyle w:val="Heading1"/>
      </w:pPr>
      <w:r>
        <w:t>Capability Assessment</w:t>
      </w:r>
    </w:p>
    <w:p>
      <w:r>
        <w:rPr>
          <w:i/>
        </w:rPr>
        <w:t>Comparing A1 Enterprise Reference Architecture against Codify the Bank R1 Implementation</w:t>
      </w:r>
    </w:p>
    <w:p/>
    <w:tbl>
      <w:tblPr>
        <w:tblStyle w:val="LightGrid-Accent1"/>
        <w:tblW w:type="auto" w:w="0"/>
        <w:jc w:val="left"/>
        <w:tblLook w:firstColumn="1" w:firstRow="1" w:lastColumn="0" w:lastRow="0" w:noHBand="0" w:noVBand="1" w:val="04A0"/>
      </w:tblPr>
      <w:tblGrid>
        <w:gridCol w:w="4320"/>
        <w:gridCol w:w="4320"/>
      </w:tblGrid>
      <w:tr>
        <w:tc>
          <w:tcPr>
            <w:tcW w:type="dxa" w:w="4320"/>
            <w:shd w:fill="003366" w:val="clear"/>
          </w:tcPr>
          <w:p>
            <w:r>
              <w:rPr>
                <w:b/>
                <w:color w:val="FFFFFF"/>
                <w:sz w:val="16"/>
              </w:rPr>
              <w:t>Field</w:t>
            </w:r>
          </w:p>
        </w:tc>
        <w:tc>
          <w:tcPr>
            <w:tcW w:type="dxa" w:w="4320"/>
            <w:shd w:fill="003366" w:val="clear"/>
          </w:tcPr>
          <w:p>
            <w:r>
              <w:rPr>
                <w:b/>
                <w:color w:val="FFFFFF"/>
                <w:sz w:val="16"/>
              </w:rPr>
              <w:t>Value</w:t>
            </w:r>
          </w:p>
        </w:tc>
      </w:tr>
      <w:tr>
        <w:tc>
          <w:tcPr>
            <w:tcW w:type="dxa" w:w="4320"/>
          </w:tcPr>
          <w:p>
            <w:r>
              <w:rPr>
                <w:sz w:val="16"/>
              </w:rPr>
              <w:t>Document Type</w:t>
            </w:r>
          </w:p>
        </w:tc>
        <w:tc>
          <w:tcPr>
            <w:tcW w:type="dxa" w:w="4320"/>
          </w:tcPr>
          <w:p>
            <w:r>
              <w:rPr>
                <w:sz w:val="16"/>
              </w:rPr>
              <w:t>Architecture Assessment — Confluence Reference</w:t>
            </w:r>
          </w:p>
        </w:tc>
      </w:tr>
      <w:tr>
        <w:tc>
          <w:tcPr>
            <w:tcW w:type="dxa" w:w="4320"/>
          </w:tcPr>
          <w:p>
            <w:r>
              <w:rPr>
                <w:sz w:val="16"/>
              </w:rPr>
              <w:t>Owner</w:t>
            </w:r>
          </w:p>
        </w:tc>
        <w:tc>
          <w:tcPr>
            <w:tcW w:type="dxa" w:w="4320"/>
          </w:tcPr>
          <w:p>
            <w:r>
              <w:rPr>
                <w:sz w:val="16"/>
              </w:rPr>
              <w:t>Lead Architect, AI for Tech — Unstructured Data Workstream</w:t>
            </w:r>
          </w:p>
        </w:tc>
      </w:tr>
      <w:tr>
        <w:tc>
          <w:tcPr>
            <w:tcW w:type="dxa" w:w="4320"/>
          </w:tcPr>
          <w:p>
            <w:r>
              <w:rPr>
                <w:sz w:val="16"/>
              </w:rPr>
              <w:t>Status</w:t>
            </w:r>
          </w:p>
        </w:tc>
        <w:tc>
          <w:tcPr>
            <w:tcW w:type="dxa" w:w="4320"/>
          </w:tcPr>
          <w:p>
            <w:r>
              <w:rPr>
                <w:sz w:val="16"/>
              </w:rPr>
              <w:t>For Review</w:t>
            </w:r>
          </w:p>
        </w:tc>
      </w:tr>
      <w:tr>
        <w:tc>
          <w:tcPr>
            <w:tcW w:type="dxa" w:w="4320"/>
          </w:tcPr>
          <w:p>
            <w:r>
              <w:rPr>
                <w:sz w:val="16"/>
              </w:rPr>
              <w:t>Date</w:t>
            </w:r>
          </w:p>
        </w:tc>
        <w:tc>
          <w:tcPr>
            <w:tcW w:type="dxa" w:w="4320"/>
          </w:tcPr>
          <w:p>
            <w:r>
              <w:rPr>
                <w:sz w:val="16"/>
              </w:rPr>
              <w:t>May 2026</w:t>
            </w:r>
          </w:p>
        </w:tc>
      </w:tr>
      <w:tr>
        <w:tc>
          <w:tcPr>
            <w:tcW w:type="dxa" w:w="4320"/>
          </w:tcPr>
          <w:p>
            <w:r>
              <w:rPr>
                <w:sz w:val="16"/>
              </w:rPr>
              <w:t>Related Artefacts</w:t>
            </w:r>
          </w:p>
        </w:tc>
        <w:tc>
          <w:tcPr>
            <w:tcW w:type="dxa" w:w="4320"/>
          </w:tcPr>
          <w:p>
            <w:r>
              <w:rPr>
                <w:sz w:val="16"/>
              </w:rPr>
              <w:t>A1 Reference Architecture v2; Codify the Bank R1; Core Capability Gap Assessment v2</w:t>
            </w:r>
          </w:p>
        </w:tc>
      </w:tr>
    </w:tbl>
    <w:p/>
    <w:p>
      <w:pPr>
        <w:pStyle w:val="Heading1"/>
      </w:pPr>
      <w:r>
        <w:t>1. Purpose</w:t>
      </w:r>
    </w:p>
    <w:p>
      <w:r>
        <w:t>This document compares the A1 Enterprise Reference Architecture against the Codify the Bank Release 1 implementation, covering: (1) which capabilities are implemented and who built them; (2) all missing building blocks; (3) the benefit of future implementation. A Comment/Justification column provides senior architect rationale for each assessment.</w:t>
      </w:r>
    </w:p>
    <w:p>
      <w:pPr>
        <w:pStyle w:val="Heading1"/>
      </w:pPr>
      <w:r>
        <w:t>2. Ratings &amp; Ownership Legend</w:t>
      </w:r>
    </w:p>
    <w:tbl>
      <w:tblPr>
        <w:tblStyle w:val="LightGrid-Accent1"/>
        <w:tblW w:type="auto" w:w="0"/>
        <w:jc w:val="left"/>
        <w:tblLook w:firstColumn="1" w:firstRow="1" w:lastColumn="0" w:lastRow="0" w:noHBand="0" w:noVBand="1" w:val="04A0"/>
      </w:tblPr>
      <w:tblGrid>
        <w:gridCol w:w="4320"/>
        <w:gridCol w:w="4320"/>
      </w:tblGrid>
      <w:tr>
        <w:tc>
          <w:tcPr>
            <w:tcW w:type="dxa" w:w="4320"/>
            <w:shd w:fill="003366" w:val="clear"/>
          </w:tcPr>
          <w:p>
            <w:r>
              <w:rPr>
                <w:b/>
                <w:color w:val="FFFFFF"/>
                <w:sz w:val="16"/>
              </w:rPr>
              <w:t>Rating</w:t>
            </w:r>
          </w:p>
        </w:tc>
        <w:tc>
          <w:tcPr>
            <w:tcW w:type="dxa" w:w="4320"/>
            <w:shd w:fill="003366" w:val="clear"/>
          </w:tcPr>
          <w:p>
            <w:r>
              <w:rPr>
                <w:b/>
                <w:color w:val="FFFFFF"/>
                <w:sz w:val="16"/>
              </w:rPr>
              <w:t>Meaning</w:t>
            </w:r>
          </w:p>
        </w:tc>
      </w:tr>
      <w:tr>
        <w:tc>
          <w:tcPr>
            <w:tcW w:type="dxa" w:w="4320"/>
          </w:tcPr>
          <w:p>
            <w:r>
              <w:rPr>
                <w:sz w:val="16"/>
              </w:rPr>
              <w:t>✅ Implemented</w:t>
            </w:r>
          </w:p>
        </w:tc>
        <w:tc>
          <w:tcPr>
            <w:tcW w:type="dxa" w:w="4320"/>
          </w:tcPr>
          <w:p>
            <w:r>
              <w:rPr>
                <w:sz w:val="16"/>
              </w:rPr>
              <w:t>Present and functioning in R1</w:t>
            </w:r>
          </w:p>
        </w:tc>
      </w:tr>
      <w:tr>
        <w:tc>
          <w:tcPr>
            <w:tcW w:type="dxa" w:w="4320"/>
          </w:tcPr>
          <w:p>
            <w:r>
              <w:rPr>
                <w:sz w:val="16"/>
              </w:rPr>
              <w:t>⚠️ Partial</w:t>
            </w:r>
          </w:p>
        </w:tc>
        <w:tc>
          <w:tcPr>
            <w:tcW w:type="dxa" w:w="4320"/>
          </w:tcPr>
          <w:p>
            <w:r>
              <w:rPr>
                <w:sz w:val="16"/>
              </w:rPr>
              <w:t>Exists but narrow, inconsistent, or incomplete</w:t>
            </w:r>
          </w:p>
        </w:tc>
      </w:tr>
      <w:tr>
        <w:tc>
          <w:tcPr>
            <w:tcW w:type="dxa" w:w="4320"/>
          </w:tcPr>
          <w:p>
            <w:r>
              <w:rPr>
                <w:sz w:val="16"/>
              </w:rPr>
              <w:t>❌ Absent</w:t>
            </w:r>
          </w:p>
        </w:tc>
        <w:tc>
          <w:tcPr>
            <w:tcW w:type="dxa" w:w="4320"/>
          </w:tcPr>
          <w:p>
            <w:r>
              <w:rPr>
                <w:sz w:val="16"/>
              </w:rPr>
              <w:t>Not implemented in R1</w:t>
            </w:r>
          </w:p>
        </w:tc>
      </w:tr>
    </w:tbl>
    <w:p/>
    <w:tbl>
      <w:tblPr>
        <w:tblStyle w:val="LightGrid-Accent1"/>
        <w:tblW w:type="auto" w:w="0"/>
        <w:jc w:val="left"/>
        <w:tblLook w:firstColumn="1" w:firstRow="1" w:lastColumn="0" w:lastRow="0" w:noHBand="0" w:noVBand="1" w:val="04A0"/>
      </w:tblPr>
      <w:tblGrid>
        <w:gridCol w:w="4320"/>
        <w:gridCol w:w="4320"/>
      </w:tblGrid>
      <w:tr>
        <w:tc>
          <w:tcPr>
            <w:tcW w:type="dxa" w:w="4320"/>
            <w:shd w:fill="003366" w:val="clear"/>
          </w:tcPr>
          <w:p>
            <w:r>
              <w:rPr>
                <w:b/>
                <w:color w:val="FFFFFF"/>
                <w:sz w:val="16"/>
              </w:rPr>
              <w:t>Owner</w:t>
            </w:r>
          </w:p>
        </w:tc>
        <w:tc>
          <w:tcPr>
            <w:tcW w:type="dxa" w:w="4320"/>
            <w:shd w:fill="003366" w:val="clear"/>
          </w:tcPr>
          <w:p>
            <w:r>
              <w:rPr>
                <w:b/>
                <w:color w:val="FFFFFF"/>
                <w:sz w:val="16"/>
              </w:rPr>
              <w:t>Meaning</w:t>
            </w:r>
          </w:p>
        </w:tc>
      </w:tr>
      <w:tr>
        <w:tc>
          <w:tcPr>
            <w:tcW w:type="dxa" w:w="4320"/>
          </w:tcPr>
          <w:p>
            <w:r>
              <w:rPr>
                <w:sz w:val="16"/>
              </w:rPr>
              <w:t>Group AI</w:t>
            </w:r>
          </w:p>
        </w:tc>
        <w:tc>
          <w:tcPr>
            <w:tcW w:type="dxa" w:w="4320"/>
          </w:tcPr>
          <w:p>
            <w:r>
              <w:rPr>
                <w:sz w:val="16"/>
              </w:rPr>
              <w:t>Shared enterprise AI platform (LLMs, Embedding Models, Moderation, VectorDB-as-a-Service)</w:t>
            </w:r>
          </w:p>
        </w:tc>
      </w:tr>
      <w:tr>
        <w:tc>
          <w:tcPr>
            <w:tcW w:type="dxa" w:w="4320"/>
          </w:tcPr>
          <w:p>
            <w:r>
              <w:rPr>
                <w:sz w:val="16"/>
              </w:rPr>
              <w:t>UDL Platform</w:t>
            </w:r>
          </w:p>
        </w:tc>
        <w:tc>
          <w:tcPr>
            <w:tcW w:type="dxa" w:w="4320"/>
          </w:tcPr>
          <w:p>
            <w:r>
              <w:rPr>
                <w:sz w:val="16"/>
              </w:rPr>
              <w:t>CIB Unstructured Data Platform team — reusable SDK / shared layer</w:t>
            </w:r>
          </w:p>
        </w:tc>
      </w:tr>
      <w:tr>
        <w:tc>
          <w:tcPr>
            <w:tcW w:type="dxa" w:w="4320"/>
          </w:tcPr>
          <w:p>
            <w:r>
              <w:rPr>
                <w:sz w:val="16"/>
              </w:rPr>
              <w:t>Use Case Team</w:t>
            </w:r>
          </w:p>
        </w:tc>
        <w:tc>
          <w:tcPr>
            <w:tcW w:type="dxa" w:w="4320"/>
          </w:tcPr>
          <w:p>
            <w:r>
              <w:rPr>
                <w:sz w:val="16"/>
              </w:rPr>
              <w:t>Built for Codify the Bank by the delivery team</w:t>
            </w:r>
          </w:p>
        </w:tc>
      </w:tr>
      <w:tr>
        <w:tc>
          <w:tcPr>
            <w:tcW w:type="dxa" w:w="4320"/>
          </w:tcPr>
          <w:p>
            <w:r>
              <w:rPr>
                <w:sz w:val="16"/>
              </w:rPr>
              <w:t>GCP Managed</w:t>
            </w:r>
          </w:p>
        </w:tc>
        <w:tc>
          <w:tcPr>
            <w:tcW w:type="dxa" w:w="4320"/>
          </w:tcPr>
          <w:p>
            <w:r>
              <w:rPr>
                <w:sz w:val="16"/>
              </w:rPr>
              <w:t>Managed cloud service (GCS, BigQuery, Pub/Sub, GKE)</w:t>
            </w:r>
          </w:p>
        </w:tc>
      </w:tr>
      <w:tr>
        <w:tc>
          <w:tcPr>
            <w:tcW w:type="dxa" w:w="4320"/>
          </w:tcPr>
          <w:p>
            <w:r>
              <w:rPr>
                <w:sz w:val="16"/>
              </w:rPr>
              <w:t>Enterprise</w:t>
            </w:r>
          </w:p>
        </w:tc>
        <w:tc>
          <w:tcPr>
            <w:tcW w:type="dxa" w:w="4320"/>
          </w:tcPr>
          <w:p>
            <w:r>
              <w:rPr>
                <w:sz w:val="16"/>
              </w:rPr>
              <w:t>Enterprise platform team (Identity, Infrastructure)</w:t>
            </w:r>
          </w:p>
        </w:tc>
      </w:tr>
    </w:tbl>
    <w:p/>
    <w:p>
      <w:pPr>
        <w:pStyle w:val="Heading1"/>
      </w:pPr>
      <w:r>
        <w:t>3. Key Architectural Context</w:t>
      </w:r>
    </w:p>
    <w:p>
      <w:r>
        <w:t>The following ownership boundaries are critical to reading this assessment correctly:</w:t>
      </w:r>
    </w:p>
    <w:p>
      <w:pPr>
        <w:pStyle w:val="ListBullet"/>
      </w:pPr>
      <w:r>
        <w:t>Group AI provides shared enterprise services: LLM models, Embedding models, Content Moderation &amp; Guardrails, and is developing VectorDB-as-a-Service and shared Embedding Services as future shared capabilities.</w:t>
      </w:r>
    </w:p>
    <w:p>
      <w:pPr>
        <w:pStyle w:val="ListBullet"/>
      </w:pPr>
      <w:r>
        <w:t>The Codify the Bank use case team integrates with Group AI for LLM inference and moderation, but implements its own orchestration workflows, chunking pipelines, embedding generation pipelines, and vector index management.</w:t>
      </w:r>
    </w:p>
    <w:p>
      <w:pPr>
        <w:pStyle w:val="ListBullet"/>
      </w:pPr>
      <w:r>
        <w:t>The UDL Platform provides the abstraction layer (LLM Adapter SDK, session/cache, auth) that decouples use-case code from Group AI platform specifics.</w:t>
      </w:r>
    </w:p>
    <w:p>
      <w:pPr>
        <w:pStyle w:val="ListBullet"/>
      </w:pPr>
      <w:r>
        <w:t>This creates a tension: Group AI intends to centralise embedding and vector capabilities as shared services, while the use case has already built bespoke pipelines. The assessment identifies where convergence is needed.</w:t>
      </w:r>
    </w:p>
    <w:p>
      <w:pPr>
        <w:pStyle w:val="Heading1"/>
      </w:pPr>
      <w:r>
        <w:t>4. Layer-by-Layer Assessment</w:t>
      </w:r>
    </w:p>
    <w:p>
      <w:pPr>
        <w:pStyle w:val="Heading2"/>
      </w:pPr>
      <w:r>
        <w:t>Layer 1 — Source Domains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Internal Knowledge</w:t>
            </w:r>
          </w:p>
        </w:tc>
        <w:tc>
          <w:tcPr>
            <w:tcW w:type="dxa" w:w="1728"/>
          </w:tcPr>
          <w:p>
            <w:r>
              <w:rPr>
                <w:sz w:val="16"/>
              </w:rPr>
              <w:t>P&amp;P docs from GPPS, Appiant, AWS</w:t>
            </w:r>
          </w:p>
        </w:tc>
        <w:tc>
          <w:tcPr>
            <w:tcW w:type="dxa" w:w="1728"/>
          </w:tcPr>
          <w:p>
            <w:r>
              <w:rPr>
                <w:sz w:val="16"/>
              </w:rPr>
              <w:t>✅ Implemented</w:t>
            </w:r>
          </w:p>
        </w:tc>
        <w:tc>
          <w:tcPr>
            <w:tcW w:type="dxa" w:w="1728"/>
          </w:tcPr>
          <w:p>
            <w:r>
              <w:rPr>
                <w:sz w:val="16"/>
              </w:rPr>
              <w:t>Use Case Team</w:t>
            </w:r>
          </w:p>
        </w:tc>
        <w:tc>
          <w:tcPr>
            <w:tcW w:type="dxa" w:w="1728"/>
          </w:tcPr>
          <w:p>
            <w:r>
              <w:rPr>
                <w:sz w:val="16"/>
              </w:rPr>
              <w:t>Appropriately scoped for document-centric R1. Core content type for codification.</w:t>
            </w:r>
          </w:p>
        </w:tc>
      </w:tr>
      <w:tr>
        <w:tc>
          <w:tcPr>
            <w:tcW w:type="dxa" w:w="1728"/>
          </w:tcPr>
          <w:p>
            <w:r>
              <w:rPr>
                <w:sz w:val="16"/>
              </w:rPr>
              <w:t>Structured Context Sources</w:t>
            </w:r>
          </w:p>
        </w:tc>
        <w:tc>
          <w:tcPr>
            <w:tcW w:type="dxa" w:w="1728"/>
          </w:tcPr>
          <w:p>
            <w:r>
              <w:rPr>
                <w:sz w:val="16"/>
              </w:rPr>
              <w:t>OWL/RDF ontology schema</w:t>
            </w:r>
          </w:p>
        </w:tc>
        <w:tc>
          <w:tcPr>
            <w:tcW w:type="dxa" w:w="1728"/>
          </w:tcPr>
          <w:p>
            <w:r>
              <w:rPr>
                <w:sz w:val="16"/>
              </w:rPr>
              <w:t>✅ Implemented</w:t>
            </w:r>
          </w:p>
        </w:tc>
        <w:tc>
          <w:tcPr>
            <w:tcW w:type="dxa" w:w="1728"/>
          </w:tcPr>
          <w:p>
            <w:r>
              <w:rPr>
                <w:sz w:val="16"/>
              </w:rPr>
              <w:t>Use Case Team</w:t>
            </w:r>
          </w:p>
        </w:tc>
        <w:tc>
          <w:tcPr>
            <w:tcW w:type="dxa" w:w="1728"/>
          </w:tcPr>
          <w:p>
            <w:r>
              <w:rPr>
                <w:sz w:val="16"/>
              </w:rPr>
              <w:t>Ontology-driven KG build is a differentiating architectural strength. CI/CD-managed schema is good practice.</w:t>
            </w:r>
          </w:p>
        </w:tc>
      </w:tr>
      <w:tr>
        <w:tc>
          <w:tcPr>
            <w:tcW w:type="dxa" w:w="1728"/>
          </w:tcPr>
          <w:p>
            <w:r>
              <w:rPr>
                <w:sz w:val="16"/>
              </w:rPr>
              <w:t>Operational Workflow &amp; Cases</w:t>
            </w:r>
          </w:p>
        </w:tc>
        <w:tc>
          <w:tcPr>
            <w:tcW w:type="dxa" w:w="1728"/>
          </w:tcPr>
          <w:p>
            <w:r>
              <w:rPr>
                <w:sz w:val="16"/>
              </w:rPr>
              <w:t>Not in scope</w:t>
            </w:r>
          </w:p>
        </w:tc>
        <w:tc>
          <w:tcPr>
            <w:tcW w:type="dxa" w:w="1728"/>
          </w:tcPr>
          <w:p>
            <w:r>
              <w:rPr>
                <w:sz w:val="16"/>
              </w:rPr>
              <w:t>❌ Absent</w:t>
            </w:r>
          </w:p>
        </w:tc>
        <w:tc>
          <w:tcPr>
            <w:tcW w:type="dxa" w:w="1728"/>
          </w:tcPr>
          <w:p>
            <w:r>
              <w:rPr>
                <w:sz w:val="16"/>
              </w:rPr>
              <w:t>—</w:t>
            </w:r>
          </w:p>
        </w:tc>
        <w:tc>
          <w:tcPr>
            <w:tcW w:type="dxa" w:w="1728"/>
          </w:tcPr>
          <w:p>
            <w:r>
              <w:rPr>
                <w:sz w:val="16"/>
              </w:rPr>
              <w:t>Intentional R1 scoping. Jira/ServiceNow integration would strengthen policy change lineage in future releases.</w:t>
            </w:r>
          </w:p>
        </w:tc>
      </w:tr>
      <w:tr>
        <w:tc>
          <w:tcPr>
            <w:tcW w:type="dxa" w:w="1728"/>
          </w:tcPr>
          <w:p>
            <w:r>
              <w:rPr>
                <w:sz w:val="16"/>
              </w:rPr>
              <w:t>Communication &amp; Collaboration</w:t>
            </w:r>
          </w:p>
        </w:tc>
        <w:tc>
          <w:tcPr>
            <w:tcW w:type="dxa" w:w="1728"/>
          </w:tcPr>
          <w:p>
            <w:r>
              <w:rPr>
                <w:sz w:val="16"/>
              </w:rPr>
              <w:t>Not in scope</w:t>
            </w:r>
          </w:p>
        </w:tc>
        <w:tc>
          <w:tcPr>
            <w:tcW w:type="dxa" w:w="1728"/>
          </w:tcPr>
          <w:p>
            <w:r>
              <w:rPr>
                <w:sz w:val="16"/>
              </w:rPr>
              <w:t>❌ Absent</w:t>
            </w:r>
          </w:p>
        </w:tc>
        <w:tc>
          <w:tcPr>
            <w:tcW w:type="dxa" w:w="1728"/>
          </w:tcPr>
          <w:p>
            <w:r>
              <w:rPr>
                <w:sz w:val="16"/>
              </w:rPr>
              <w:t>—</w:t>
            </w:r>
          </w:p>
        </w:tc>
        <w:tc>
          <w:tcPr>
            <w:tcW w:type="dxa" w:w="1728"/>
          </w:tcPr>
          <w:p>
            <w:r>
              <w:rPr>
                <w:sz w:val="16"/>
              </w:rPr>
              <w:t>Email threads discussing policy interpretations are relevant; consider for R2 once modality router exists.</w:t>
            </w:r>
          </w:p>
        </w:tc>
      </w:tr>
      <w:tr>
        <w:tc>
          <w:tcPr>
            <w:tcW w:type="dxa" w:w="1728"/>
          </w:tcPr>
          <w:p>
            <w:r>
              <w:rPr>
                <w:sz w:val="16"/>
              </w:rPr>
              <w:t>Media &amp; Interaction Sources</w:t>
            </w:r>
          </w:p>
        </w:tc>
        <w:tc>
          <w:tcPr>
            <w:tcW w:type="dxa" w:w="1728"/>
          </w:tcPr>
          <w:p>
            <w:r>
              <w:rPr>
                <w:sz w:val="16"/>
              </w:rPr>
              <w:t>Not in scope</w:t>
            </w:r>
          </w:p>
        </w:tc>
        <w:tc>
          <w:tcPr>
            <w:tcW w:type="dxa" w:w="1728"/>
          </w:tcPr>
          <w:p>
            <w:r>
              <w:rPr>
                <w:sz w:val="16"/>
              </w:rPr>
              <w:t>❌ Absent</w:t>
            </w:r>
          </w:p>
        </w:tc>
        <w:tc>
          <w:tcPr>
            <w:tcW w:type="dxa" w:w="1728"/>
          </w:tcPr>
          <w:p>
            <w:r>
              <w:rPr>
                <w:sz w:val="16"/>
              </w:rPr>
              <w:t>—</w:t>
            </w:r>
          </w:p>
        </w:tc>
        <w:tc>
          <w:tcPr>
            <w:tcW w:type="dxa" w:w="1728"/>
          </w:tcPr>
          <w:p>
            <w:r>
              <w:rPr>
                <w:sz w:val="16"/>
              </w:rPr>
              <w:t>Audio recordings of regulatory briefings could enrich codification. Depends on Voice/Audio workstream patterns.</w:t>
            </w:r>
          </w:p>
        </w:tc>
      </w:tr>
      <w:tr>
        <w:tc>
          <w:tcPr>
            <w:tcW w:type="dxa" w:w="1728"/>
          </w:tcPr>
          <w:p>
            <w:r>
              <w:rPr>
                <w:sz w:val="16"/>
              </w:rPr>
              <w:t>External &amp; Third-Party Content</w:t>
            </w:r>
          </w:p>
        </w:tc>
        <w:tc>
          <w:tcPr>
            <w:tcW w:type="dxa" w:w="1728"/>
          </w:tcPr>
          <w:p>
            <w:r>
              <w:rPr>
                <w:sz w:val="16"/>
              </w:rPr>
              <w:t>Not in scope</w:t>
            </w:r>
          </w:p>
        </w:tc>
        <w:tc>
          <w:tcPr>
            <w:tcW w:type="dxa" w:w="1728"/>
          </w:tcPr>
          <w:p>
            <w:r>
              <w:rPr>
                <w:sz w:val="16"/>
              </w:rPr>
              <w:t>❌ Absent</w:t>
            </w:r>
          </w:p>
        </w:tc>
        <w:tc>
          <w:tcPr>
            <w:tcW w:type="dxa" w:w="1728"/>
          </w:tcPr>
          <w:p>
            <w:r>
              <w:rPr>
                <w:sz w:val="16"/>
              </w:rPr>
              <w:t>—</w:t>
            </w:r>
          </w:p>
        </w:tc>
        <w:tc>
          <w:tcPr>
            <w:tcW w:type="dxa" w:w="1728"/>
          </w:tcPr>
          <w:p>
            <w:r>
              <w:rPr>
                <w:sz w:val="16"/>
              </w:rPr>
              <w:t>Regulatory filings (e.g. FCA, PRA) are a logical extension. Requires external content trust framework (currently absent enterprise-wide).</w:t>
            </w:r>
          </w:p>
        </w:tc>
      </w:tr>
      <w:tr>
        <w:tc>
          <w:tcPr>
            <w:tcW w:type="dxa" w:w="1728"/>
          </w:tcPr>
          <w:p>
            <w:r>
              <w:rPr>
                <w:sz w:val="16"/>
              </w:rPr>
              <w:t>Repository &amp; File Sources</w:t>
            </w:r>
          </w:p>
        </w:tc>
        <w:tc>
          <w:tcPr>
            <w:tcW w:type="dxa" w:w="1728"/>
          </w:tcPr>
          <w:p>
            <w:r>
              <w:rPr>
                <w:sz w:val="16"/>
              </w:rPr>
              <w:t>Indirect access via GPPS; no generic connector</w:t>
            </w:r>
          </w:p>
        </w:tc>
        <w:tc>
          <w:tcPr>
            <w:tcW w:type="dxa" w:w="1728"/>
          </w:tcPr>
          <w:p>
            <w:r>
              <w:rPr>
                <w:sz w:val="16"/>
              </w:rPr>
              <w:t>⚠️ Partial</w:t>
            </w:r>
          </w:p>
        </w:tc>
        <w:tc>
          <w:tcPr>
            <w:tcW w:type="dxa" w:w="1728"/>
          </w:tcPr>
          <w:p>
            <w:r>
              <w:rPr>
                <w:sz w:val="16"/>
              </w:rPr>
              <w:t>Use Case Team</w:t>
            </w:r>
          </w:p>
        </w:tc>
        <w:tc>
          <w:tcPr>
            <w:tcW w:type="dxa" w:w="1728"/>
          </w:tcPr>
          <w:p>
            <w:r>
              <w:rPr>
                <w:sz w:val="16"/>
              </w:rPr>
              <w:t>Point-to-point wiring. A reusable connector abstraction is needed before onboarding additional source systems.</w:t>
            </w:r>
          </w:p>
        </w:tc>
      </w:tr>
    </w:tbl>
    <w:p/>
    <w:p>
      <w:pPr>
        <w:pStyle w:val="Heading2"/>
      </w:pPr>
      <w:r>
        <w:t>Layer 2 — Ingestion &amp; Onboarding</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Intake Connectors</w:t>
            </w:r>
          </w:p>
        </w:tc>
        <w:tc>
          <w:tcPr>
            <w:tcW w:type="dxa" w:w="1728"/>
          </w:tcPr>
          <w:p>
            <w:r>
              <w:rPr>
                <w:sz w:val="16"/>
              </w:rPr>
              <w:t>Manual ingestion — documents manually uploaded. No automated Pub/Sub or API-based intake in R1/R2. Jenkins CI/CD for ontology loading only.</w:t>
            </w:r>
          </w:p>
        </w:tc>
        <w:tc>
          <w:tcPr>
            <w:tcW w:type="dxa" w:w="1728"/>
          </w:tcPr>
          <w:p>
            <w:r>
              <w:rPr>
                <w:sz w:val="16"/>
              </w:rPr>
              <w:t>❌ Absent</w:t>
            </w:r>
          </w:p>
        </w:tc>
        <w:tc>
          <w:tcPr>
            <w:tcW w:type="dxa" w:w="1728"/>
          </w:tcPr>
          <w:p>
            <w:r>
              <w:rPr>
                <w:sz w:val="16"/>
              </w:rPr>
              <w:t>—</w:t>
            </w:r>
          </w:p>
        </w:tc>
        <w:tc>
          <w:tcPr>
            <w:tcW w:type="dxa" w:w="1728"/>
          </w:tcPr>
          <w:p>
            <w:r>
              <w:rPr>
                <w:sz w:val="16"/>
              </w:rPr>
              <w:t>R1/R2 scope is manual ingestion. No automated connectors, no event-driven intake. Deliberate scoping but becomes a scaling bottleneck as the policy estate grows.</w:t>
            </w:r>
          </w:p>
        </w:tc>
      </w:tr>
      <w:tr>
        <w:tc>
          <w:tcPr>
            <w:tcW w:type="dxa" w:w="1728"/>
          </w:tcPr>
          <w:p>
            <w:r>
              <w:rPr>
                <w:sz w:val="16"/>
              </w:rPr>
              <w:t>Landing &amp; Validation</w:t>
            </w:r>
          </w:p>
        </w:tc>
        <w:tc>
          <w:tcPr>
            <w:tcW w:type="dxa" w:w="1728"/>
          </w:tcPr>
          <w:p>
            <w:r>
              <w:rPr>
                <w:sz w:val="16"/>
              </w:rPr>
              <w:t>No automated landing zone, validation gate, or schema check. Documents manually placed into pipeline.</w:t>
            </w:r>
          </w:p>
        </w:tc>
        <w:tc>
          <w:tcPr>
            <w:tcW w:type="dxa" w:w="1728"/>
          </w:tcPr>
          <w:p>
            <w:r>
              <w:rPr>
                <w:sz w:val="16"/>
              </w:rPr>
              <w:t>❌ Absent</w:t>
            </w:r>
          </w:p>
        </w:tc>
        <w:tc>
          <w:tcPr>
            <w:tcW w:type="dxa" w:w="1728"/>
          </w:tcPr>
          <w:p>
            <w:r>
              <w:rPr>
                <w:sz w:val="16"/>
              </w:rPr>
              <w:t>—</w:t>
            </w:r>
          </w:p>
        </w:tc>
        <w:tc>
          <w:tcPr>
            <w:tcW w:type="dxa" w:w="1728"/>
          </w:tcPr>
          <w:p>
            <w:r>
              <w:rPr>
                <w:sz w:val="16"/>
              </w:rPr>
              <w:t>Without automated validation at intake, malformed or incorrectly classified documents enter the pipeline and only fail at processing stages.</w:t>
            </w:r>
          </w:p>
        </w:tc>
      </w:tr>
      <w:tr>
        <w:tc>
          <w:tcPr>
            <w:tcW w:type="dxa" w:w="1728"/>
          </w:tcPr>
          <w:p>
            <w:r>
              <w:rPr>
                <w:sz w:val="16"/>
              </w:rPr>
              <w:t>Quarantine</w:t>
            </w:r>
          </w:p>
        </w:tc>
        <w:tc>
          <w:tcPr>
            <w:tcW w:type="dxa" w:w="1728"/>
          </w:tcPr>
          <w:p>
            <w:r>
              <w:rPr>
                <w:sz w:val="16"/>
              </w:rPr>
              <w:t>No quarantine zone or exception queue</w:t>
            </w:r>
          </w:p>
        </w:tc>
        <w:tc>
          <w:tcPr>
            <w:tcW w:type="dxa" w:w="1728"/>
          </w:tcPr>
          <w:p>
            <w:r>
              <w:rPr>
                <w:sz w:val="16"/>
              </w:rPr>
              <w:t>❌ Absent</w:t>
            </w:r>
          </w:p>
        </w:tc>
        <w:tc>
          <w:tcPr>
            <w:tcW w:type="dxa" w:w="1728"/>
          </w:tcPr>
          <w:p>
            <w:r>
              <w:rPr>
                <w:sz w:val="16"/>
              </w:rPr>
              <w:t>—</w:t>
            </w:r>
          </w:p>
        </w:tc>
        <w:tc>
          <w:tcPr>
            <w:tcW w:type="dxa" w:w="1728"/>
          </w:tcPr>
          <w:p>
            <w:r>
              <w:rPr>
                <w:sz w:val="16"/>
              </w:rPr>
              <w:t>Failed/malformed documents surface as pipeline errors. A quarantine queue would improve operational resilience and enable managed reprocessing.</w:t>
            </w:r>
          </w:p>
        </w:tc>
      </w:tr>
      <w:tr>
        <w:tc>
          <w:tcPr>
            <w:tcW w:type="dxa" w:w="1728"/>
          </w:tcPr>
          <w:p>
            <w:r>
              <w:rPr>
                <w:sz w:val="16"/>
              </w:rPr>
              <w:t>Source Registration &amp; Ownership</w:t>
            </w:r>
          </w:p>
        </w:tc>
        <w:tc>
          <w:tcPr>
            <w:tcW w:type="dxa" w:w="1728"/>
          </w:tcPr>
          <w:p>
            <w:r>
              <w:rPr>
                <w:sz w:val="16"/>
              </w:rPr>
              <w:t>No source registry</w:t>
            </w:r>
          </w:p>
        </w:tc>
        <w:tc>
          <w:tcPr>
            <w:tcW w:type="dxa" w:w="1728"/>
          </w:tcPr>
          <w:p>
            <w:r>
              <w:rPr>
                <w:sz w:val="16"/>
              </w:rPr>
              <w:t>❌ Absent</w:t>
            </w:r>
          </w:p>
        </w:tc>
        <w:tc>
          <w:tcPr>
            <w:tcW w:type="dxa" w:w="1728"/>
          </w:tcPr>
          <w:p>
            <w:r>
              <w:rPr>
                <w:sz w:val="16"/>
              </w:rPr>
              <w:t>—</w:t>
            </w:r>
          </w:p>
        </w:tc>
        <w:tc>
          <w:tcPr>
            <w:tcW w:type="dxa" w:w="1728"/>
          </w:tcPr>
          <w:p>
            <w:r>
              <w:rPr>
                <w:sz w:val="16"/>
              </w:rPr>
              <w:t>No formal record of which source system owns what content under what trust classification. Foundation for a shared onboarding layer.</w:t>
            </w:r>
          </w:p>
        </w:tc>
      </w:tr>
      <w:tr>
        <w:tc>
          <w:tcPr>
            <w:tcW w:type="dxa" w:w="1728"/>
          </w:tcPr>
          <w:p>
            <w:r>
              <w:rPr>
                <w:sz w:val="16"/>
              </w:rPr>
              <w:t>Policy-Aware Routing</w:t>
            </w:r>
          </w:p>
        </w:tc>
        <w:tc>
          <w:tcPr>
            <w:tcW w:type="dxa" w:w="1728"/>
          </w:tcPr>
          <w:p>
            <w:r>
              <w:rPr>
                <w:sz w:val="16"/>
              </w:rPr>
              <w:t>Single fixed path for all documents</w:t>
            </w:r>
          </w:p>
        </w:tc>
        <w:tc>
          <w:tcPr>
            <w:tcW w:type="dxa" w:w="1728"/>
          </w:tcPr>
          <w:p>
            <w:r>
              <w:rPr>
                <w:sz w:val="16"/>
              </w:rPr>
              <w:t>❌ Absent</w:t>
            </w:r>
          </w:p>
        </w:tc>
        <w:tc>
          <w:tcPr>
            <w:tcW w:type="dxa" w:w="1728"/>
          </w:tcPr>
          <w:p>
            <w:r>
              <w:rPr>
                <w:sz w:val="16"/>
              </w:rPr>
              <w:t>—</w:t>
            </w:r>
          </w:p>
        </w:tc>
        <w:tc>
          <w:tcPr>
            <w:tcW w:type="dxa" w:w="1728"/>
          </w:tcPr>
          <w:p>
            <w:r>
              <w:rPr>
                <w:sz w:val="16"/>
              </w:rPr>
              <w:t>Most significant Layer 2 gap. HR/Legal/Regulatory policies follow the same path as operational policies. Cannot enforce sovereignty or restricted-content routing at intake.</w:t>
            </w:r>
          </w:p>
        </w:tc>
      </w:tr>
    </w:tbl>
    <w:p/>
    <w:p>
      <w:pPr>
        <w:pStyle w:val="Heading2"/>
      </w:pPr>
      <w:r>
        <w:t>Layer 3 — Preparation &amp; Normalisation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Format Detection &amp; Modality Routing</w:t>
            </w:r>
          </w:p>
        </w:tc>
        <w:tc>
          <w:tcPr>
            <w:tcW w:type="dxa" w:w="1728"/>
          </w:tcPr>
          <w:p>
            <w:r>
              <w:rPr>
                <w:sz w:val="16"/>
              </w:rPr>
              <w:t>Policy documents only; no modality router</w:t>
            </w:r>
          </w:p>
        </w:tc>
        <w:tc>
          <w:tcPr>
            <w:tcW w:type="dxa" w:w="1728"/>
          </w:tcPr>
          <w:p>
            <w:r>
              <w:rPr>
                <w:sz w:val="16"/>
              </w:rPr>
              <w:t>⚠️ Partial</w:t>
            </w:r>
          </w:p>
        </w:tc>
        <w:tc>
          <w:tcPr>
            <w:tcW w:type="dxa" w:w="1728"/>
          </w:tcPr>
          <w:p>
            <w:r>
              <w:rPr>
                <w:sz w:val="16"/>
              </w:rPr>
              <w:t>Use Case Team</w:t>
            </w:r>
          </w:p>
        </w:tc>
        <w:tc>
          <w:tcPr>
            <w:tcW w:type="dxa" w:w="1728"/>
          </w:tcPr>
          <w:p>
            <w:r>
              <w:rPr>
                <w:sz w:val="16"/>
              </w:rPr>
              <w:t>Tightly coupled to document format. A modality router is needed before audio, email, or chat can be onboarded.</w:t>
            </w:r>
          </w:p>
        </w:tc>
      </w:tr>
      <w:tr>
        <w:tc>
          <w:tcPr>
            <w:tcW w:type="dxa" w:w="1728"/>
          </w:tcPr>
          <w:p>
            <w:r>
              <w:rPr>
                <w:sz w:val="16"/>
              </w:rPr>
              <w:t>Extraction Services</w:t>
            </w:r>
          </w:p>
        </w:tc>
        <w:tc>
          <w:tcPr>
            <w:tcW w:type="dxa" w:w="1728"/>
          </w:tcPr>
          <w:p>
            <w:r>
              <w:rPr>
                <w:sz w:val="16"/>
              </w:rPr>
              <w:t>Chapter extraction pipeline (Raw→Chapter→Tag→Structured) on GKE</w:t>
            </w:r>
          </w:p>
        </w:tc>
        <w:tc>
          <w:tcPr>
            <w:tcW w:type="dxa" w:w="1728"/>
          </w:tcPr>
          <w:p>
            <w:r>
              <w:rPr>
                <w:sz w:val="16"/>
              </w:rPr>
              <w:t>✅ Implemented</w:t>
            </w:r>
          </w:p>
        </w:tc>
        <w:tc>
          <w:tcPr>
            <w:tcW w:type="dxa" w:w="1728"/>
          </w:tcPr>
          <w:p>
            <w:r>
              <w:rPr>
                <w:sz w:val="16"/>
              </w:rPr>
              <w:t>Use Case Team</w:t>
            </w:r>
          </w:p>
        </w:tc>
        <w:tc>
          <w:tcPr>
            <w:tcW w:type="dxa" w:w="1728"/>
          </w:tcPr>
          <w:p>
            <w:r>
              <w:rPr>
                <w:sz w:val="16"/>
              </w:rPr>
              <w:t>Strong document extraction pattern. Well-decomposed into independent microservices. Model for other modalities.</w:t>
            </w:r>
          </w:p>
        </w:tc>
      </w:tr>
      <w:tr>
        <w:tc>
          <w:tcPr>
            <w:tcW w:type="dxa" w:w="1728"/>
          </w:tcPr>
          <w:p>
            <w:r>
              <w:rPr>
                <w:sz w:val="16"/>
              </w:rPr>
              <w:t>Normalisation &amp; Deduplication</w:t>
            </w:r>
          </w:p>
        </w:tc>
        <w:tc>
          <w:tcPr>
            <w:tcW w:type="dxa" w:w="1728"/>
          </w:tcPr>
          <w:p>
            <w:r>
              <w:rPr>
                <w:sz w:val="16"/>
              </w:rPr>
              <w:t>Chapter tagging; no explicit deduplication</w:t>
            </w:r>
          </w:p>
        </w:tc>
        <w:tc>
          <w:tcPr>
            <w:tcW w:type="dxa" w:w="1728"/>
          </w:tcPr>
          <w:p>
            <w:r>
              <w:rPr>
                <w:sz w:val="16"/>
              </w:rPr>
              <w:t>⚠️ Partial</w:t>
            </w:r>
          </w:p>
        </w:tc>
        <w:tc>
          <w:tcPr>
            <w:tcW w:type="dxa" w:w="1728"/>
          </w:tcPr>
          <w:p>
            <w:r>
              <w:rPr>
                <w:sz w:val="16"/>
              </w:rPr>
              <w:t>Use Case Team</w:t>
            </w:r>
          </w:p>
        </w:tc>
        <w:tc>
          <w:tcPr>
            <w:tcW w:type="dxa" w:w="1728"/>
          </w:tcPr>
          <w:p>
            <w:r>
              <w:rPr>
                <w:sz w:val="16"/>
              </w:rPr>
              <w:t>Canonicalisation is implicit. No MinHash or fingerprint-based deduplication — risk of processing duplicate policy versions.</w:t>
            </w:r>
          </w:p>
        </w:tc>
      </w:tr>
      <w:tr>
        <w:tc>
          <w:tcPr>
            <w:tcW w:type="dxa" w:w="1728"/>
          </w:tcPr>
          <w:p>
            <w:r>
              <w:rPr>
                <w:sz w:val="16"/>
              </w:rPr>
              <w:t>Metadata Enrichment &amp; Classification</w:t>
            </w:r>
          </w:p>
        </w:tc>
        <w:tc>
          <w:tcPr>
            <w:tcW w:type="dxa" w:w="1728"/>
          </w:tcPr>
          <w:p>
            <w:r>
              <w:rPr>
                <w:sz w:val="16"/>
              </w:rPr>
              <w:t>Chapter-level tagging with source ref, version, classification</w:t>
            </w:r>
          </w:p>
        </w:tc>
        <w:tc>
          <w:tcPr>
            <w:tcW w:type="dxa" w:w="1728"/>
          </w:tcPr>
          <w:p>
            <w:r>
              <w:rPr>
                <w:sz w:val="16"/>
              </w:rPr>
              <w:t>⚠️ Partial</w:t>
            </w:r>
          </w:p>
        </w:tc>
        <w:tc>
          <w:tcPr>
            <w:tcW w:type="dxa" w:w="1728"/>
          </w:tcPr>
          <w:p>
            <w:r>
              <w:rPr>
                <w:sz w:val="16"/>
              </w:rPr>
              <w:t>Use Case Team</w:t>
            </w:r>
          </w:p>
        </w:tc>
        <w:tc>
          <w:tcPr>
            <w:tcW w:type="dxa" w:w="1728"/>
          </w:tcPr>
          <w:p>
            <w:r>
              <w:rPr>
                <w:sz w:val="16"/>
              </w:rPr>
              <w:t>Classification is propagated but not aligned to enterprise taxonomy. Limits downstream interoperability with Fabric and catalogue.</w:t>
            </w:r>
          </w:p>
        </w:tc>
      </w:tr>
      <w:tr>
        <w:tc>
          <w:tcPr>
            <w:tcW w:type="dxa" w:w="1728"/>
          </w:tcPr>
          <w:p>
            <w:r>
              <w:rPr>
                <w:sz w:val="16"/>
              </w:rPr>
              <w:t>Redaction &amp; Sensitive Data Controls</w:t>
            </w:r>
          </w:p>
        </w:tc>
        <w:tc>
          <w:tcPr>
            <w:tcW w:type="dxa" w:w="1728"/>
          </w:tcPr>
          <w:p>
            <w:r>
              <w:rPr>
                <w:sz w:val="16"/>
              </w:rPr>
              <w:t>No PII detection, no redaction, no DLP before semantic processing</w:t>
            </w:r>
          </w:p>
        </w:tc>
        <w:tc>
          <w:tcPr>
            <w:tcW w:type="dxa" w:w="1728"/>
          </w:tcPr>
          <w:p>
            <w:r>
              <w:rPr>
                <w:sz w:val="16"/>
              </w:rPr>
              <w:t>❌ Absent</w:t>
            </w:r>
          </w:p>
        </w:tc>
        <w:tc>
          <w:tcPr>
            <w:tcW w:type="dxa" w:w="1728"/>
          </w:tcPr>
          <w:p>
            <w:r>
              <w:rPr>
                <w:sz w:val="16"/>
              </w:rPr>
              <w:t>—</w:t>
            </w:r>
          </w:p>
        </w:tc>
        <w:tc>
          <w:tcPr>
            <w:tcW w:type="dxa" w:w="1728"/>
          </w:tcPr>
          <w:p>
            <w:r>
              <w:rPr>
                <w:sz w:val="16"/>
              </w:rPr>
              <w:t>CRITICAL GAP: Embeddings and graph nodes may contain PII. Group AI moderation is output-side only — it does not prevent PII entering vector/graph stores. First-order regulatory exposure.</w:t>
            </w:r>
          </w:p>
        </w:tc>
      </w:tr>
      <w:tr>
        <w:tc>
          <w:tcPr>
            <w:tcW w:type="dxa" w:w="1728"/>
          </w:tcPr>
          <w:p>
            <w:r>
              <w:rPr>
                <w:sz w:val="16"/>
              </w:rPr>
              <w:t>Chunking (semantic splitting)</w:t>
            </w:r>
          </w:p>
        </w:tc>
        <w:tc>
          <w:tcPr>
            <w:tcW w:type="dxa" w:w="1728"/>
          </w:tcPr>
          <w:p>
            <w:r>
              <w:rPr>
                <w:sz w:val="16"/>
              </w:rPr>
              <w:t>Semantic splitting microservices on GKE</w:t>
            </w:r>
          </w:p>
        </w:tc>
        <w:tc>
          <w:tcPr>
            <w:tcW w:type="dxa" w:w="1728"/>
          </w:tcPr>
          <w:p>
            <w:r>
              <w:rPr>
                <w:sz w:val="16"/>
              </w:rPr>
              <w:t>✅ Implemented</w:t>
            </w:r>
          </w:p>
        </w:tc>
        <w:tc>
          <w:tcPr>
            <w:tcW w:type="dxa" w:w="1728"/>
          </w:tcPr>
          <w:p>
            <w:r>
              <w:rPr>
                <w:sz w:val="16"/>
              </w:rPr>
              <w:t>Use Case Team</w:t>
            </w:r>
          </w:p>
        </w:tc>
        <w:tc>
          <w:tcPr>
            <w:tcW w:type="dxa" w:w="1728"/>
          </w:tcPr>
          <w:p>
            <w:r>
              <w:rPr>
                <w:sz w:val="16"/>
              </w:rPr>
              <w:t>Use case team has built bespoke chunking. Group AI intends to offer shared chunking/embedding services. Convergence needed — current bespoke pipeline should be evaluated against Group AI shared service when available.</w:t>
            </w:r>
          </w:p>
        </w:tc>
      </w:tr>
    </w:tbl>
    <w:p/>
    <w:p>
      <w:pPr>
        <w:pStyle w:val="Heading2"/>
      </w:pPr>
      <w:r>
        <w:t>Layer 4 — Orchestration &amp; Semantic Processing (Strongest Layer)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Deterministic Workflow Engine</w:t>
            </w:r>
          </w:p>
        </w:tc>
        <w:tc>
          <w:tcPr>
            <w:tcW w:type="dxa" w:w="1728"/>
          </w:tcPr>
          <w:p>
            <w:r>
              <w:rPr>
                <w:sz w:val="16"/>
              </w:rPr>
              <w:t>LangGraph Planner on GKE</w:t>
            </w:r>
          </w:p>
        </w:tc>
        <w:tc>
          <w:tcPr>
            <w:tcW w:type="dxa" w:w="1728"/>
          </w:tcPr>
          <w:p>
            <w:r>
              <w:rPr>
                <w:sz w:val="16"/>
              </w:rPr>
              <w:t>✅ Implemented</w:t>
            </w:r>
          </w:p>
        </w:tc>
        <w:tc>
          <w:tcPr>
            <w:tcW w:type="dxa" w:w="1728"/>
          </w:tcPr>
          <w:p>
            <w:r>
              <w:rPr>
                <w:sz w:val="16"/>
              </w:rPr>
              <w:t>Use Case Team</w:t>
            </w:r>
          </w:p>
        </w:tc>
        <w:tc>
          <w:tcPr>
            <w:tcW w:type="dxa" w:w="1728"/>
          </w:tcPr>
          <w:p>
            <w:r>
              <w:rPr>
                <w:sz w:val="16"/>
              </w:rPr>
              <w:t>Architectural centrepiece. Event-driven, stateful, with retry/replay. Enterprise pattern to converge on.</w:t>
            </w:r>
          </w:p>
        </w:tc>
      </w:tr>
      <w:tr>
        <w:tc>
          <w:tcPr>
            <w:tcW w:type="dxa" w:w="1728"/>
          </w:tcPr>
          <w:p>
            <w:r>
              <w:rPr>
                <w:sz w:val="16"/>
              </w:rPr>
              <w:t>Stateful Agents</w:t>
            </w:r>
          </w:p>
        </w:tc>
        <w:tc>
          <w:tcPr>
            <w:tcW w:type="dxa" w:w="1728"/>
          </w:tcPr>
          <w:p>
            <w:r>
              <w:rPr>
                <w:sz w:val="16"/>
              </w:rPr>
              <w:t>3 workflows, 10+ agents as controlled sub-graphs</w:t>
            </w:r>
          </w:p>
        </w:tc>
        <w:tc>
          <w:tcPr>
            <w:tcW w:type="dxa" w:w="1728"/>
          </w:tcPr>
          <w:p>
            <w:r>
              <w:rPr>
                <w:sz w:val="16"/>
              </w:rPr>
              <w:t>✅ Implemented</w:t>
            </w:r>
          </w:p>
        </w:tc>
        <w:tc>
          <w:tcPr>
            <w:tcW w:type="dxa" w:w="1728"/>
          </w:tcPr>
          <w:p>
            <w:r>
              <w:rPr>
                <w:sz w:val="16"/>
              </w:rPr>
              <w:t>Use Case Team</w:t>
            </w:r>
          </w:p>
        </w:tc>
        <w:tc>
          <w:tcPr>
            <w:tcW w:type="dxa" w:w="1728"/>
          </w:tcPr>
          <w:p>
            <w:r>
              <w:rPr>
                <w:sz w:val="16"/>
              </w:rPr>
              <w:t>Agents are deterministically orchestrated, not autonomous. Correct architectural choice for regulated content.</w:t>
            </w:r>
          </w:p>
        </w:tc>
      </w:tr>
      <w:tr>
        <w:tc>
          <w:tcPr>
            <w:tcW w:type="dxa" w:w="1728"/>
          </w:tcPr>
          <w:p>
            <w:r>
              <w:rPr>
                <w:sz w:val="16"/>
              </w:rPr>
              <w:t>Chunking &amp; Embedding Generation</w:t>
            </w:r>
          </w:p>
        </w:tc>
        <w:tc>
          <w:tcPr>
            <w:tcW w:type="dxa" w:w="1728"/>
          </w:tcPr>
          <w:p>
            <w:r>
              <w:rPr>
                <w:sz w:val="16"/>
              </w:rPr>
              <w:t>Chunking microservices + Embedding Agent</w:t>
            </w:r>
          </w:p>
        </w:tc>
        <w:tc>
          <w:tcPr>
            <w:tcW w:type="dxa" w:w="1728"/>
          </w:tcPr>
          <w:p>
            <w:r>
              <w:rPr>
                <w:sz w:val="16"/>
              </w:rPr>
              <w:t>✅ Implemented</w:t>
            </w:r>
          </w:p>
        </w:tc>
        <w:tc>
          <w:tcPr>
            <w:tcW w:type="dxa" w:w="1728"/>
          </w:tcPr>
          <w:p>
            <w:r>
              <w:rPr>
                <w:sz w:val="16"/>
              </w:rPr>
              <w:t>Use Case Team</w:t>
            </w:r>
          </w:p>
        </w:tc>
        <w:tc>
          <w:tcPr>
            <w:tcW w:type="dxa" w:w="1728"/>
          </w:tcPr>
          <w:p>
            <w:r>
              <w:rPr>
                <w:sz w:val="16"/>
              </w:rPr>
              <w:t>Built by use case team. Group AI plans to offer shared embedding services — when available, the Embedding Agent should be evaluated for migration to the shared service to avoid duplication and ensure model governance consistency.</w:t>
            </w:r>
          </w:p>
        </w:tc>
      </w:tr>
      <w:tr>
        <w:tc>
          <w:tcPr>
            <w:tcW w:type="dxa" w:w="1728"/>
          </w:tcPr>
          <w:p>
            <w:r>
              <w:rPr>
                <w:sz w:val="16"/>
              </w:rPr>
              <w:t>Knowledge Enrichment &amp; Graph Build</w:t>
            </w:r>
          </w:p>
        </w:tc>
        <w:tc>
          <w:tcPr>
            <w:tcW w:type="dxa" w:w="1728"/>
          </w:tcPr>
          <w:p>
            <w:r>
              <w:rPr>
                <w:sz w:val="16"/>
              </w:rPr>
              <w:t>4-agent KG pipeline: A/D→Domain Artifact→Norm→KG Load</w:t>
            </w:r>
          </w:p>
        </w:tc>
        <w:tc>
          <w:tcPr>
            <w:tcW w:type="dxa" w:w="1728"/>
          </w:tcPr>
          <w:p>
            <w:r>
              <w:rPr>
                <w:sz w:val="16"/>
              </w:rPr>
              <w:t>✅ Implemented</w:t>
            </w:r>
          </w:p>
        </w:tc>
        <w:tc>
          <w:tcPr>
            <w:tcW w:type="dxa" w:w="1728"/>
          </w:tcPr>
          <w:p>
            <w:r>
              <w:rPr>
                <w:sz w:val="16"/>
              </w:rPr>
              <w:t>Use Case Team</w:t>
            </w:r>
          </w:p>
        </w:tc>
        <w:tc>
          <w:tcPr>
            <w:tcW w:type="dxa" w:w="1728"/>
          </w:tcPr>
          <w:p>
            <w:r>
              <w:rPr>
                <w:sz w:val="16"/>
              </w:rPr>
              <w:t>Strongest KG pattern in the enterprise. Ontology-aligned, with entity resolution and cross-document linkage.</w:t>
            </w:r>
          </w:p>
        </w:tc>
      </w:tr>
      <w:tr>
        <w:tc>
          <w:tcPr>
            <w:tcW w:type="dxa" w:w="1728"/>
          </w:tcPr>
          <w:p>
            <w:r>
              <w:rPr>
                <w:sz w:val="16"/>
              </w:rPr>
              <w:t>Quality Assurance &amp; Validation</w:t>
            </w:r>
          </w:p>
        </w:tc>
        <w:tc>
          <w:tcPr>
            <w:tcW w:type="dxa" w:w="1728"/>
          </w:tcPr>
          <w:p>
            <w:r>
              <w:rPr>
                <w:sz w:val="16"/>
              </w:rPr>
              <w:t>Multi-judge: Precision Judge ×2 → A/C/D → Final Judge</w:t>
            </w:r>
          </w:p>
        </w:tc>
        <w:tc>
          <w:tcPr>
            <w:tcW w:type="dxa" w:w="1728"/>
          </w:tcPr>
          <w:p>
            <w:r>
              <w:rPr>
                <w:sz w:val="16"/>
              </w:rPr>
              <w:t>✅ Implemented</w:t>
            </w:r>
          </w:p>
        </w:tc>
        <w:tc>
          <w:tcPr>
            <w:tcW w:type="dxa" w:w="1728"/>
          </w:tcPr>
          <w:p>
            <w:r>
              <w:rPr>
                <w:sz w:val="16"/>
              </w:rPr>
              <w:t>Use Case Team</w:t>
            </w:r>
          </w:p>
        </w:tc>
        <w:tc>
          <w:tcPr>
            <w:tcW w:type="dxa" w:w="1728"/>
          </w:tcPr>
          <w:p>
            <w:r>
              <w:rPr>
                <w:sz w:val="16"/>
              </w:rPr>
              <w:t>Sophisticated multi-judge pattern. Unusually LLM-intensive — makes FinOps attribution particularly important.</w:t>
            </w:r>
          </w:p>
        </w:tc>
      </w:tr>
      <w:tr>
        <w:tc>
          <w:tcPr>
            <w:tcW w:type="dxa" w:w="1728"/>
          </w:tcPr>
          <w:p>
            <w:r>
              <w:rPr>
                <w:sz w:val="16"/>
              </w:rPr>
              <w:t>HITL Quality Gate</w:t>
            </w:r>
          </w:p>
        </w:tc>
        <w:tc>
          <w:tcPr>
            <w:tcW w:type="dxa" w:w="1728"/>
          </w:tcPr>
          <w:p>
            <w:r>
              <w:rPr>
                <w:sz w:val="16"/>
              </w:rPr>
              <w:t>Mandatory human review in React SPA</w:t>
            </w:r>
          </w:p>
        </w:tc>
        <w:tc>
          <w:tcPr>
            <w:tcW w:type="dxa" w:w="1728"/>
          </w:tcPr>
          <w:p>
            <w:r>
              <w:rPr>
                <w:sz w:val="16"/>
              </w:rPr>
              <w:t>✅ Implemented</w:t>
            </w:r>
          </w:p>
        </w:tc>
        <w:tc>
          <w:tcPr>
            <w:tcW w:type="dxa" w:w="1728"/>
          </w:tcPr>
          <w:p>
            <w:r>
              <w:rPr>
                <w:sz w:val="16"/>
              </w:rPr>
              <w:t>Use Case Team</w:t>
            </w:r>
          </w:p>
        </w:tc>
        <w:tc>
          <w:tcPr>
            <w:tcW w:type="dxa" w:w="1728"/>
          </w:tcPr>
          <w:p>
            <w:r>
              <w:rPr>
                <w:sz w:val="16"/>
              </w:rPr>
              <w:t>Hard gate before persistence. Regulatory requirement. Dual-path QA (human + AI) exceeds reference architecture minimum.</w:t>
            </w:r>
          </w:p>
        </w:tc>
      </w:tr>
      <w:tr>
        <w:tc>
          <w:tcPr>
            <w:tcW w:type="dxa" w:w="1728"/>
          </w:tcPr>
          <w:p>
            <w:r>
              <w:rPr>
                <w:sz w:val="16"/>
              </w:rPr>
              <w:t>Exception Handling &amp; Replay</w:t>
            </w:r>
          </w:p>
        </w:tc>
        <w:tc>
          <w:tcPr>
            <w:tcW w:type="dxa" w:w="1728"/>
          </w:tcPr>
          <w:p>
            <w:r>
              <w:rPr>
                <w:sz w:val="16"/>
              </w:rPr>
              <w:t>LangGraph retry/replay; C-tier loops back</w:t>
            </w:r>
          </w:p>
        </w:tc>
        <w:tc>
          <w:tcPr>
            <w:tcW w:type="dxa" w:w="1728"/>
          </w:tcPr>
          <w:p>
            <w:r>
              <w:rPr>
                <w:sz w:val="16"/>
              </w:rPr>
              <w:t>✅ Implemented</w:t>
            </w:r>
          </w:p>
        </w:tc>
        <w:tc>
          <w:tcPr>
            <w:tcW w:type="dxa" w:w="1728"/>
          </w:tcPr>
          <w:p>
            <w:r>
              <w:rPr>
                <w:sz w:val="16"/>
              </w:rPr>
              <w:t>Use Case Team</w:t>
            </w:r>
          </w:p>
        </w:tc>
        <w:tc>
          <w:tcPr>
            <w:tcW w:type="dxa" w:w="1728"/>
          </w:tcPr>
          <w:p>
            <w:r>
              <w:rPr>
                <w:sz w:val="16"/>
              </w:rPr>
              <w:t>Exception semantics are well-defined. C-tier → ReAuthor loop is a controlled retry, not unbounded.</w:t>
            </w:r>
          </w:p>
        </w:tc>
      </w:tr>
    </w:tbl>
    <w:p/>
    <w:p>
      <w:pPr>
        <w:pStyle w:val="Heading2"/>
      </w:pPr>
      <w:r>
        <w:t>Layer 5 — Governed AI Integration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MCP Client</w:t>
            </w:r>
          </w:p>
        </w:tc>
        <w:tc>
          <w:tcPr>
            <w:tcW w:type="dxa" w:w="1728"/>
          </w:tcPr>
          <w:p>
            <w:r>
              <w:rPr>
                <w:sz w:val="16"/>
              </w:rPr>
              <w:t>Library with typed wrappers, context propagation, auth retries, trace headers</w:t>
            </w:r>
          </w:p>
        </w:tc>
        <w:tc>
          <w:tcPr>
            <w:tcW w:type="dxa" w:w="1728"/>
          </w:tcPr>
          <w:p>
            <w:r>
              <w:rPr>
                <w:sz w:val="16"/>
              </w:rPr>
              <w:t>✅ Implemented</w:t>
            </w:r>
          </w:p>
        </w:tc>
        <w:tc>
          <w:tcPr>
            <w:tcW w:type="dxa" w:w="1728"/>
          </w:tcPr>
          <w:p>
            <w:r>
              <w:rPr>
                <w:sz w:val="16"/>
              </w:rPr>
              <w:t>Use Case Team</w:t>
            </w:r>
          </w:p>
        </w:tc>
        <w:tc>
          <w:tcPr>
            <w:tcW w:type="dxa" w:w="1728"/>
          </w:tcPr>
          <w:p>
            <w:r>
              <w:rPr>
                <w:sz w:val="16"/>
              </w:rPr>
              <w:t>Most mature MCP implementation in the enterprise. All AI calls mediated — no direct invocations. Pattern for reuse.</w:t>
            </w:r>
          </w:p>
        </w:tc>
      </w:tr>
      <w:tr>
        <w:tc>
          <w:tcPr>
            <w:tcW w:type="dxa" w:w="1728"/>
          </w:tcPr>
          <w:p>
            <w:r>
              <w:rPr>
                <w:sz w:val="16"/>
              </w:rPr>
              <w:t>MCP Gateway / Server</w:t>
            </w:r>
          </w:p>
        </w:tc>
        <w:tc>
          <w:tcPr>
            <w:tcW w:type="dxa" w:w="1728"/>
          </w:tcPr>
          <w:p>
            <w:r>
              <w:rPr>
                <w:sz w:val="16"/>
              </w:rPr>
              <w:t>GKE Tool Gateway with OTel + governance enforcement</w:t>
            </w:r>
          </w:p>
        </w:tc>
        <w:tc>
          <w:tcPr>
            <w:tcW w:type="dxa" w:w="1728"/>
          </w:tcPr>
          <w:p>
            <w:r>
              <w:rPr>
                <w:sz w:val="16"/>
              </w:rPr>
              <w:t>✅ Implemented</w:t>
            </w:r>
          </w:p>
        </w:tc>
        <w:tc>
          <w:tcPr>
            <w:tcW w:type="dxa" w:w="1728"/>
          </w:tcPr>
          <w:p>
            <w:r>
              <w:rPr>
                <w:sz w:val="16"/>
              </w:rPr>
              <w:t>Use Case Team</w:t>
            </w:r>
          </w:p>
        </w:tc>
        <w:tc>
          <w:tcPr>
            <w:tcW w:type="dxa" w:w="1728"/>
          </w:tcPr>
          <w:p>
            <w:r>
              <w:rPr>
                <w:sz w:val="16"/>
              </w:rPr>
              <w:t>Clean governance boundary. Ontology routing via MCP Server is an additional strength not required by ref arch.</w:t>
            </w:r>
          </w:p>
        </w:tc>
      </w:tr>
      <w:tr>
        <w:tc>
          <w:tcPr>
            <w:tcW w:type="dxa" w:w="1728"/>
          </w:tcPr>
          <w:p>
            <w:r>
              <w:rPr>
                <w:sz w:val="16"/>
              </w:rPr>
              <w:t>Shared AI Platform Services</w:t>
            </w:r>
          </w:p>
        </w:tc>
        <w:tc>
          <w:tcPr>
            <w:tcW w:type="dxa" w:w="1728"/>
          </w:tcPr>
          <w:p>
            <w:r>
              <w:rPr>
                <w:sz w:val="16"/>
              </w:rPr>
              <w:t>Group AI: LLMs, Embedding Models, Content Moderation</w:t>
            </w:r>
          </w:p>
        </w:tc>
        <w:tc>
          <w:tcPr>
            <w:tcW w:type="dxa" w:w="1728"/>
          </w:tcPr>
          <w:p>
            <w:r>
              <w:rPr>
                <w:sz w:val="16"/>
              </w:rPr>
              <w:t>✅ Implemented</w:t>
            </w:r>
          </w:p>
        </w:tc>
        <w:tc>
          <w:tcPr>
            <w:tcW w:type="dxa" w:w="1728"/>
          </w:tcPr>
          <w:p>
            <w:r>
              <w:rPr>
                <w:sz w:val="16"/>
              </w:rPr>
              <w:t>Group AI</w:t>
            </w:r>
          </w:p>
        </w:tc>
        <w:tc>
          <w:tcPr>
            <w:tcW w:type="dxa" w:w="1728"/>
          </w:tcPr>
          <w:p>
            <w:r>
              <w:rPr>
                <w:sz w:val="16"/>
              </w:rPr>
              <w:t>Use case integrates with Group AI for LLM inference and moderation. Embedding models are consumed but embedding pipeline orchestration is use-case-owned.</w:t>
            </w:r>
          </w:p>
        </w:tc>
      </w:tr>
      <w:tr>
        <w:tc>
          <w:tcPr>
            <w:tcW w:type="dxa" w:w="1728"/>
          </w:tcPr>
          <w:p>
            <w:r>
              <w:rPr>
                <w:sz w:val="16"/>
              </w:rPr>
              <w:t>LLM Service Abstraction</w:t>
            </w:r>
          </w:p>
        </w:tc>
        <w:tc>
          <w:tcPr>
            <w:tcW w:type="dxa" w:w="1728"/>
          </w:tcPr>
          <w:p>
            <w:r>
              <w:rPr>
                <w:sz w:val="16"/>
              </w:rPr>
              <w:t>CIB UDL LLM Adapter SDK</w:t>
            </w:r>
          </w:p>
        </w:tc>
        <w:tc>
          <w:tcPr>
            <w:tcW w:type="dxa" w:w="1728"/>
          </w:tcPr>
          <w:p>
            <w:r>
              <w:rPr>
                <w:sz w:val="16"/>
              </w:rPr>
              <w:t>✅ Implemented</w:t>
            </w:r>
          </w:p>
        </w:tc>
        <w:tc>
          <w:tcPr>
            <w:tcW w:type="dxa" w:w="1728"/>
          </w:tcPr>
          <w:p>
            <w:r>
              <w:rPr>
                <w:sz w:val="16"/>
              </w:rPr>
              <w:t>UDL Platform</w:t>
            </w:r>
          </w:p>
        </w:tc>
        <w:tc>
          <w:tcPr>
            <w:tcW w:type="dxa" w:w="1728"/>
          </w:tcPr>
          <w:p>
            <w:r>
              <w:rPr>
                <w:sz w:val="16"/>
              </w:rPr>
              <w:t>Critical decoupling layer. Model upgrades, version pinning, and FinOps attribution handled here without orchestration changes.</w:t>
            </w:r>
          </w:p>
        </w:tc>
      </w:tr>
      <w:tr>
        <w:tc>
          <w:tcPr>
            <w:tcW w:type="dxa" w:w="1728"/>
          </w:tcPr>
          <w:p>
            <w:r>
              <w:rPr>
                <w:sz w:val="16"/>
              </w:rPr>
              <w:t>AI Observability</w:t>
            </w:r>
          </w:p>
        </w:tc>
        <w:tc>
          <w:tcPr>
            <w:tcW w:type="dxa" w:w="1728"/>
          </w:tcPr>
          <w:p>
            <w:r>
              <w:rPr>
                <w:sz w:val="16"/>
              </w:rPr>
              <w:t>OTel tracing through MCP headers</w:t>
            </w:r>
          </w:p>
        </w:tc>
        <w:tc>
          <w:tcPr>
            <w:tcW w:type="dxa" w:w="1728"/>
          </w:tcPr>
          <w:p>
            <w:r>
              <w:rPr>
                <w:sz w:val="16"/>
              </w:rPr>
              <w:t>⚠️ Partial</w:t>
            </w:r>
          </w:p>
        </w:tc>
        <w:tc>
          <w:tcPr>
            <w:tcW w:type="dxa" w:w="1728"/>
          </w:tcPr>
          <w:p>
            <w:r>
              <w:rPr>
                <w:sz w:val="16"/>
              </w:rPr>
              <w:t>Use Case Team / Group AI</w:t>
            </w:r>
          </w:p>
        </w:tc>
        <w:tc>
          <w:tcPr>
            <w:tcW w:type="dxa" w:w="1728"/>
          </w:tcPr>
          <w:p>
            <w:r>
              <w:rPr>
                <w:sz w:val="16"/>
              </w:rPr>
              <w:t>Distributed tracing exists. Missing: model performance telemetry, quality-tier correlation, and drift detection signals.</w:t>
            </w:r>
          </w:p>
        </w:tc>
      </w:tr>
      <w:tr>
        <w:tc>
          <w:tcPr>
            <w:tcW w:type="dxa" w:w="1728"/>
          </w:tcPr>
          <w:p>
            <w:r>
              <w:rPr>
                <w:sz w:val="16"/>
              </w:rPr>
              <w:t>FinOps / Cost Attribution</w:t>
            </w:r>
          </w:p>
        </w:tc>
        <w:tc>
          <w:tcPr>
            <w:tcW w:type="dxa" w:w="1728"/>
          </w:tcPr>
          <w:p>
            <w:r>
              <w:rPr>
                <w:sz w:val="16"/>
              </w:rPr>
              <w:t>No cost attribution, token metering, or quota enforcement</w:t>
            </w:r>
          </w:p>
        </w:tc>
        <w:tc>
          <w:tcPr>
            <w:tcW w:type="dxa" w:w="1728"/>
          </w:tcPr>
          <w:p>
            <w:r>
              <w:rPr>
                <w:sz w:val="16"/>
              </w:rPr>
              <w:t>❌ Absent</w:t>
            </w:r>
          </w:p>
        </w:tc>
        <w:tc>
          <w:tcPr>
            <w:tcW w:type="dxa" w:w="1728"/>
          </w:tcPr>
          <w:p>
            <w:r>
              <w:rPr>
                <w:sz w:val="16"/>
              </w:rPr>
              <w:t>—</w:t>
            </w:r>
          </w:p>
        </w:tc>
        <w:tc>
          <w:tcPr>
            <w:tcW w:type="dxa" w:w="1728"/>
          </w:tcPr>
          <w:p>
            <w:r>
              <w:rPr>
                <w:sz w:val="16"/>
              </w:rPr>
              <w:t>Given the multi-judge validation pipeline, Codify is one of the most LLM-intensive use cases. Cost visibility and quota guardrails are essential for BAU operations. Requires Group AI alignment.</w:t>
            </w:r>
          </w:p>
        </w:tc>
      </w:tr>
    </w:tbl>
    <w:p/>
    <w:p>
      <w:pPr>
        <w:pStyle w:val="Heading2"/>
      </w:pPr>
      <w:r>
        <w:t>Layer 6 — Persistence Services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Raw &amp; Processed Content Store</w:t>
            </w:r>
          </w:p>
        </w:tc>
        <w:tc>
          <w:tcPr>
            <w:tcW w:type="dxa" w:w="1728"/>
          </w:tcPr>
          <w:p>
            <w:r>
              <w:rPr>
                <w:sz w:val="16"/>
              </w:rPr>
              <w:t>GCS Buckets — versioned artefacts</w:t>
            </w:r>
          </w:p>
        </w:tc>
        <w:tc>
          <w:tcPr>
            <w:tcW w:type="dxa" w:w="1728"/>
          </w:tcPr>
          <w:p>
            <w:r>
              <w:rPr>
                <w:sz w:val="16"/>
              </w:rPr>
              <w:t>✅ Implemented</w:t>
            </w:r>
          </w:p>
        </w:tc>
        <w:tc>
          <w:tcPr>
            <w:tcW w:type="dxa" w:w="1728"/>
          </w:tcPr>
          <w:p>
            <w:r>
              <w:rPr>
                <w:sz w:val="16"/>
              </w:rPr>
              <w:t>GCP Managed / Use Case Team</w:t>
            </w:r>
          </w:p>
        </w:tc>
        <w:tc>
          <w:tcPr>
            <w:tcW w:type="dxa" w:w="1728"/>
          </w:tcPr>
          <w:p>
            <w:r>
              <w:rPr>
                <w:sz w:val="16"/>
              </w:rPr>
              <w:t>Immutable versioning at every pipeline stage. Good archival practice.</w:t>
            </w:r>
          </w:p>
        </w:tc>
      </w:tr>
      <w:tr>
        <w:tc>
          <w:tcPr>
            <w:tcW w:type="dxa" w:w="1728"/>
          </w:tcPr>
          <w:p>
            <w:r>
              <w:rPr>
                <w:sz w:val="16"/>
              </w:rPr>
              <w:t>Metadata &amp; Lineage Store</w:t>
            </w:r>
          </w:p>
        </w:tc>
        <w:tc>
          <w:tcPr>
            <w:tcW w:type="dxa" w:w="1728"/>
          </w:tcPr>
          <w:p>
            <w:r>
              <w:rPr>
                <w:sz w:val="16"/>
              </w:rPr>
              <w:t>BigQuery — policy lineage, execution metadata</w:t>
            </w:r>
          </w:p>
        </w:tc>
        <w:tc>
          <w:tcPr>
            <w:tcW w:type="dxa" w:w="1728"/>
          </w:tcPr>
          <w:p>
            <w:r>
              <w:rPr>
                <w:sz w:val="16"/>
              </w:rPr>
              <w:t>✅ Implemented</w:t>
            </w:r>
          </w:p>
        </w:tc>
        <w:tc>
          <w:tcPr>
            <w:tcW w:type="dxa" w:w="1728"/>
          </w:tcPr>
          <w:p>
            <w:r>
              <w:rPr>
                <w:sz w:val="16"/>
              </w:rPr>
              <w:t>GCP Managed / Use Case Team</w:t>
            </w:r>
          </w:p>
        </w:tc>
        <w:tc>
          <w:tcPr>
            <w:tcW w:type="dxa" w:w="1728"/>
          </w:tcPr>
          <w:p>
            <w:r>
              <w:rPr>
                <w:sz w:val="16"/>
              </w:rPr>
              <w:t>Operational lineage exists but is local. Not published to enterprise catalogue — limits audit defensibility.</w:t>
            </w:r>
          </w:p>
        </w:tc>
      </w:tr>
      <w:tr>
        <w:tc>
          <w:tcPr>
            <w:tcW w:type="dxa" w:w="1728"/>
          </w:tcPr>
          <w:p>
            <w:r>
              <w:rPr>
                <w:sz w:val="16"/>
              </w:rPr>
              <w:t>Vector Store</w:t>
            </w:r>
          </w:p>
        </w:tc>
        <w:tc>
          <w:tcPr>
            <w:tcW w:type="dxa" w:w="1728"/>
          </w:tcPr>
          <w:p>
            <w:r>
              <w:rPr>
                <w:sz w:val="16"/>
              </w:rPr>
              <w:t>Vector DB on GCP — embeddings, entity summaries, ANN index</w:t>
            </w:r>
          </w:p>
        </w:tc>
        <w:tc>
          <w:tcPr>
            <w:tcW w:type="dxa" w:w="1728"/>
          </w:tcPr>
          <w:p>
            <w:r>
              <w:rPr>
                <w:sz w:val="16"/>
              </w:rPr>
              <w:t>✅ Implemented</w:t>
            </w:r>
          </w:p>
        </w:tc>
        <w:tc>
          <w:tcPr>
            <w:tcW w:type="dxa" w:w="1728"/>
          </w:tcPr>
          <w:p>
            <w:r>
              <w:rPr>
                <w:sz w:val="16"/>
              </w:rPr>
              <w:t>Use Case Team (GCP Managed infra)</w:t>
            </w:r>
          </w:p>
        </w:tc>
        <w:tc>
          <w:tcPr>
            <w:tcW w:type="dxa" w:w="1728"/>
          </w:tcPr>
          <w:p>
            <w:r>
              <w:rPr>
                <w:sz w:val="16"/>
              </w:rPr>
              <w:t>Currently use-case-owned Vector DB. Group AI is developing VectorDB-as-a-Service as a shared enterprise capability. When available, the use case should evaluate migration to the shared service for consistency, governance, and cost efficiency. Current bespoke deployment creates duplication risk.</w:t>
            </w:r>
          </w:p>
        </w:tc>
      </w:tr>
      <w:tr>
        <w:tc>
          <w:tcPr>
            <w:tcW w:type="dxa" w:w="1728"/>
          </w:tcPr>
          <w:p>
            <w:r>
              <w:rPr>
                <w:sz w:val="16"/>
              </w:rPr>
              <w:t>Graph Store</w:t>
            </w:r>
          </w:p>
        </w:tc>
        <w:tc>
          <w:tcPr>
            <w:tcW w:type="dxa" w:w="1728"/>
          </w:tcPr>
          <w:p>
            <w:r>
              <w:rPr>
                <w:sz w:val="16"/>
              </w:rPr>
              <w:t>Neo4j KG (on-prem) — ontology-aligned entities, relationships</w:t>
            </w:r>
          </w:p>
        </w:tc>
        <w:tc>
          <w:tcPr>
            <w:tcW w:type="dxa" w:w="1728"/>
          </w:tcPr>
          <w:p>
            <w:r>
              <w:rPr>
                <w:sz w:val="16"/>
              </w:rPr>
              <w:t>✅ Implemented</w:t>
            </w:r>
          </w:p>
        </w:tc>
        <w:tc>
          <w:tcPr>
            <w:tcW w:type="dxa" w:w="1728"/>
          </w:tcPr>
          <w:p>
            <w:r>
              <w:rPr>
                <w:sz w:val="16"/>
              </w:rPr>
              <w:t>Use Case Team</w:t>
            </w:r>
          </w:p>
        </w:tc>
        <w:tc>
          <w:tcPr>
            <w:tcW w:type="dxa" w:w="1728"/>
          </w:tcPr>
          <w:p>
            <w:r>
              <w:rPr>
                <w:sz w:val="16"/>
              </w:rPr>
              <w:t>On-prem deployment satisfies data residency. Richest KG in the enterprise. Not yet published as a data product.</w:t>
            </w:r>
          </w:p>
        </w:tc>
      </w:tr>
      <w:tr>
        <w:tc>
          <w:tcPr>
            <w:tcW w:type="dxa" w:w="1728"/>
          </w:tcPr>
          <w:p>
            <w:r>
              <w:rPr>
                <w:sz w:val="16"/>
              </w:rPr>
              <w:t>Session State &amp; Cache</w:t>
            </w:r>
          </w:p>
        </w:tc>
        <w:tc>
          <w:tcPr>
            <w:tcW w:type="dxa" w:w="1728"/>
          </w:tcPr>
          <w:p>
            <w:r>
              <w:rPr>
                <w:sz w:val="16"/>
              </w:rPr>
              <w:t>UDL Core Capabilities</w:t>
            </w:r>
          </w:p>
        </w:tc>
        <w:tc>
          <w:tcPr>
            <w:tcW w:type="dxa" w:w="1728"/>
          </w:tcPr>
          <w:p>
            <w:r>
              <w:rPr>
                <w:sz w:val="16"/>
              </w:rPr>
              <w:t>✅ Implemented</w:t>
            </w:r>
          </w:p>
        </w:tc>
        <w:tc>
          <w:tcPr>
            <w:tcW w:type="dxa" w:w="1728"/>
          </w:tcPr>
          <w:p>
            <w:r>
              <w:rPr>
                <w:sz w:val="16"/>
              </w:rPr>
              <w:t>UDL Platform</w:t>
            </w:r>
          </w:p>
        </w:tc>
        <w:tc>
          <w:tcPr>
            <w:tcW w:type="dxa" w:w="1728"/>
          </w:tcPr>
          <w:p>
            <w:r>
              <w:rPr>
                <w:sz w:val="16"/>
              </w:rPr>
              <w:t>Shared service — already reusable across use cases.</w:t>
            </w:r>
          </w:p>
        </w:tc>
      </w:tr>
      <w:tr>
        <w:tc>
          <w:tcPr>
            <w:tcW w:type="dxa" w:w="1728"/>
          </w:tcPr>
          <w:p>
            <w:r>
              <w:rPr>
                <w:sz w:val="16"/>
              </w:rPr>
              <w:t>Analytical / Relational Store</w:t>
            </w:r>
          </w:p>
        </w:tc>
        <w:tc>
          <w:tcPr>
            <w:tcW w:type="dxa" w:w="1728"/>
          </w:tcPr>
          <w:p>
            <w:r>
              <w:rPr>
                <w:sz w:val="16"/>
              </w:rPr>
              <w:t>BigQuery partially fulfils</w:t>
            </w:r>
          </w:p>
        </w:tc>
        <w:tc>
          <w:tcPr>
            <w:tcW w:type="dxa" w:w="1728"/>
          </w:tcPr>
          <w:p>
            <w:r>
              <w:rPr>
                <w:sz w:val="16"/>
              </w:rPr>
              <w:t>⚠️ Partial</w:t>
            </w:r>
          </w:p>
        </w:tc>
        <w:tc>
          <w:tcPr>
            <w:tcW w:type="dxa" w:w="1728"/>
          </w:tcPr>
          <w:p>
            <w:r>
              <w:rPr>
                <w:sz w:val="16"/>
              </w:rPr>
              <w:t>GCP Managed</w:t>
            </w:r>
          </w:p>
        </w:tc>
        <w:tc>
          <w:tcPr>
            <w:tcW w:type="dxa" w:w="1728"/>
          </w:tcPr>
          <w:p>
            <w:r>
              <w:rPr>
                <w:sz w:val="16"/>
              </w:rPr>
              <w:t>No dedicated analytical product store. BigQuery serves dual duty for metadata and analytics.</w:t>
            </w:r>
          </w:p>
        </w:tc>
      </w:tr>
      <w:tr>
        <w:tc>
          <w:tcPr>
            <w:tcW w:type="dxa" w:w="1728"/>
          </w:tcPr>
          <w:p>
            <w:r>
              <w:rPr>
                <w:sz w:val="16"/>
              </w:rPr>
              <w:t>Enterprise Catalogue Alignment</w:t>
            </w:r>
          </w:p>
        </w:tc>
        <w:tc>
          <w:tcPr>
            <w:tcW w:type="dxa" w:w="1728"/>
          </w:tcPr>
          <w:p>
            <w:r>
              <w:rPr>
                <w:sz w:val="16"/>
              </w:rPr>
              <w:t>Not published to catalogue</w:t>
            </w:r>
          </w:p>
        </w:tc>
        <w:tc>
          <w:tcPr>
            <w:tcW w:type="dxa" w:w="1728"/>
          </w:tcPr>
          <w:p>
            <w:r>
              <w:rPr>
                <w:sz w:val="16"/>
              </w:rPr>
              <w:t>❌ Absent</w:t>
            </w:r>
          </w:p>
        </w:tc>
        <w:tc>
          <w:tcPr>
            <w:tcW w:type="dxa" w:w="1728"/>
          </w:tcPr>
          <w:p>
            <w:r>
              <w:rPr>
                <w:sz w:val="16"/>
              </w:rPr>
              <w:t>—</w:t>
            </w:r>
          </w:p>
        </w:tc>
        <w:tc>
          <w:tcPr>
            <w:tcW w:type="dxa" w:w="1728"/>
          </w:tcPr>
          <w:p>
            <w:r>
              <w:rPr>
                <w:sz w:val="16"/>
              </w:rPr>
              <w:t>Local metadata must not remain isolated. Enterprise publication is mandatory for audit and Fabric alignment.</w:t>
            </w:r>
          </w:p>
        </w:tc>
      </w:tr>
      <w:tr>
        <w:tc>
          <w:tcPr>
            <w:tcW w:type="dxa" w:w="1728"/>
          </w:tcPr>
          <w:p>
            <w:r>
              <w:rPr>
                <w:sz w:val="16"/>
              </w:rPr>
              <w:t>Retention &amp; Classification Propagation</w:t>
            </w:r>
          </w:p>
        </w:tc>
        <w:tc>
          <w:tcPr>
            <w:tcW w:type="dxa" w:w="1728"/>
          </w:tcPr>
          <w:p>
            <w:r>
              <w:rPr>
                <w:sz w:val="16"/>
              </w:rPr>
              <w:t>No enterprise retention policies</w:t>
            </w:r>
          </w:p>
        </w:tc>
        <w:tc>
          <w:tcPr>
            <w:tcW w:type="dxa" w:w="1728"/>
          </w:tcPr>
          <w:p>
            <w:r>
              <w:rPr>
                <w:sz w:val="16"/>
              </w:rPr>
              <w:t>❌ Absent</w:t>
            </w:r>
          </w:p>
        </w:tc>
        <w:tc>
          <w:tcPr>
            <w:tcW w:type="dxa" w:w="1728"/>
          </w:tcPr>
          <w:p>
            <w:r>
              <w:rPr>
                <w:sz w:val="16"/>
              </w:rPr>
              <w:t>—</w:t>
            </w:r>
          </w:p>
        </w:tc>
        <w:tc>
          <w:tcPr>
            <w:tcW w:type="dxa" w:w="1728"/>
          </w:tcPr>
          <w:p>
            <w:r>
              <w:rPr>
                <w:sz w:val="16"/>
              </w:rPr>
              <w:t>Classification applied at preparation is not enforced at persistence boundary. Compliance risk.</w:t>
            </w:r>
          </w:p>
        </w:tc>
      </w:tr>
      <w:tr>
        <w:tc>
          <w:tcPr>
            <w:tcW w:type="dxa" w:w="1728"/>
          </w:tcPr>
          <w:p>
            <w:r>
              <w:rPr>
                <w:sz w:val="16"/>
              </w:rPr>
              <w:t>Residency-Aware Placement</w:t>
            </w:r>
          </w:p>
        </w:tc>
        <w:tc>
          <w:tcPr>
            <w:tcW w:type="dxa" w:w="1728"/>
          </w:tcPr>
          <w:p>
            <w:r>
              <w:rPr>
                <w:sz w:val="16"/>
              </w:rPr>
              <w:t>No residency enforcement</w:t>
            </w:r>
          </w:p>
        </w:tc>
        <w:tc>
          <w:tcPr>
            <w:tcW w:type="dxa" w:w="1728"/>
          </w:tcPr>
          <w:p>
            <w:r>
              <w:rPr>
                <w:sz w:val="16"/>
              </w:rPr>
              <w:t>❌ Absent</w:t>
            </w:r>
          </w:p>
        </w:tc>
        <w:tc>
          <w:tcPr>
            <w:tcW w:type="dxa" w:w="1728"/>
          </w:tcPr>
          <w:p>
            <w:r>
              <w:rPr>
                <w:sz w:val="16"/>
              </w:rPr>
              <w:t>—</w:t>
            </w:r>
          </w:p>
        </w:tc>
        <w:tc>
          <w:tcPr>
            <w:tcW w:type="dxa" w:w="1728"/>
          </w:tcPr>
          <w:p>
            <w:r>
              <w:rPr>
                <w:sz w:val="16"/>
              </w:rPr>
              <w:t>Single-region assumption. Neo4j on-prem provides implicit residency but no formal routing drives the decision.</w:t>
            </w:r>
          </w:p>
        </w:tc>
      </w:tr>
    </w:tbl>
    <w:p/>
    <w:p>
      <w:pPr>
        <w:pStyle w:val="Heading2"/>
      </w:pPr>
      <w:r>
        <w:t>Layer 7 — Fabric / Data Product Access (Most Significant Gap)</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Structured Analytical Products</w:t>
            </w:r>
          </w:p>
        </w:tc>
        <w:tc>
          <w:tcPr>
            <w:tcW w:type="dxa" w:w="1728"/>
          </w:tcPr>
          <w:p>
            <w:r>
              <w:rPr>
                <w:sz w:val="16"/>
              </w:rPr>
              <w:t>Not published through Fabric</w:t>
            </w:r>
          </w:p>
        </w:tc>
        <w:tc>
          <w:tcPr>
            <w:tcW w:type="dxa" w:w="1728"/>
          </w:tcPr>
          <w:p>
            <w:r>
              <w:rPr>
                <w:sz w:val="16"/>
              </w:rPr>
              <w:t>❌ Absent</w:t>
            </w:r>
          </w:p>
        </w:tc>
        <w:tc>
          <w:tcPr>
            <w:tcW w:type="dxa" w:w="1728"/>
          </w:tcPr>
          <w:p>
            <w:r>
              <w:rPr>
                <w:sz w:val="16"/>
              </w:rPr>
              <w:t>—</w:t>
            </w:r>
          </w:p>
        </w:tc>
        <w:tc>
          <w:tcPr>
            <w:tcW w:type="dxa" w:w="1728"/>
          </w:tcPr>
          <w:p>
            <w:r>
              <w:rPr>
                <w:sz w:val="16"/>
              </w:rPr>
              <w:t>BigQuery metadata and analytical outputs could be published as governed data products. Currently siloed.</w:t>
            </w:r>
          </w:p>
        </w:tc>
      </w:tr>
      <w:tr>
        <w:tc>
          <w:tcPr>
            <w:tcW w:type="dxa" w:w="1728"/>
          </w:tcPr>
          <w:p>
            <w:r>
              <w:rPr>
                <w:sz w:val="16"/>
              </w:rPr>
              <w:t>Knowledge Graph Products</w:t>
            </w:r>
          </w:p>
        </w:tc>
        <w:tc>
          <w:tcPr>
            <w:tcW w:type="dxa" w:w="1728"/>
          </w:tcPr>
          <w:p>
            <w:r>
              <w:rPr>
                <w:sz w:val="16"/>
              </w:rPr>
              <w:t>KG exists but not Fabric-published</w:t>
            </w:r>
          </w:p>
        </w:tc>
        <w:tc>
          <w:tcPr>
            <w:tcW w:type="dxa" w:w="1728"/>
          </w:tcPr>
          <w:p>
            <w:r>
              <w:rPr>
                <w:sz w:val="16"/>
              </w:rPr>
              <w:t>❌ Absent</w:t>
            </w:r>
          </w:p>
        </w:tc>
        <w:tc>
          <w:tcPr>
            <w:tcW w:type="dxa" w:w="1728"/>
          </w:tcPr>
          <w:p>
            <w:r>
              <w:rPr>
                <w:sz w:val="16"/>
              </w:rPr>
              <w:t>—</w:t>
            </w:r>
          </w:p>
        </w:tc>
        <w:tc>
          <w:tcPr>
            <w:tcW w:type="dxa" w:w="1728"/>
          </w:tcPr>
          <w:p>
            <w:r>
              <w:rPr>
                <w:sz w:val="16"/>
              </w:rPr>
              <w:t>The Neo4j KG represents significant investment. Without Fabric publication, other teams cannot discover or consume policy relationship networks.</w:t>
            </w:r>
          </w:p>
        </w:tc>
      </w:tr>
      <w:tr>
        <w:tc>
          <w:tcPr>
            <w:tcW w:type="dxa" w:w="1728"/>
          </w:tcPr>
          <w:p>
            <w:r>
              <w:rPr>
                <w:sz w:val="16"/>
              </w:rPr>
              <w:t>Curated Unstructured Products</w:t>
            </w:r>
          </w:p>
        </w:tc>
        <w:tc>
          <w:tcPr>
            <w:tcW w:type="dxa" w:w="1728"/>
          </w:tcPr>
          <w:p>
            <w:r>
              <w:rPr>
                <w:sz w:val="16"/>
              </w:rPr>
              <w:t>Content in GCS only</w:t>
            </w:r>
          </w:p>
        </w:tc>
        <w:tc>
          <w:tcPr>
            <w:tcW w:type="dxa" w:w="1728"/>
          </w:tcPr>
          <w:p>
            <w:r>
              <w:rPr>
                <w:sz w:val="16"/>
              </w:rPr>
              <w:t>❌ Absent</w:t>
            </w:r>
          </w:p>
        </w:tc>
        <w:tc>
          <w:tcPr>
            <w:tcW w:type="dxa" w:w="1728"/>
          </w:tcPr>
          <w:p>
            <w:r>
              <w:rPr>
                <w:sz w:val="16"/>
              </w:rPr>
              <w:t>—</w:t>
            </w:r>
          </w:p>
        </w:tc>
        <w:tc>
          <w:tcPr>
            <w:tcW w:type="dxa" w:w="1728"/>
          </w:tcPr>
          <w:p>
            <w:r>
              <w:rPr>
                <w:sz w:val="16"/>
              </w:rPr>
              <w:t>Codified policy content is a high-value enterprise artefact. Legal, Compliance, and Ops teams should be able to consume it through Fabric.</w:t>
            </w:r>
          </w:p>
        </w:tc>
      </w:tr>
      <w:tr>
        <w:tc>
          <w:tcPr>
            <w:tcW w:type="dxa" w:w="1728"/>
          </w:tcPr>
          <w:p>
            <w:r>
              <w:rPr>
                <w:sz w:val="16"/>
              </w:rPr>
              <w:t>Federation &amp; Cross-Cluster</w:t>
            </w:r>
          </w:p>
        </w:tc>
        <w:tc>
          <w:tcPr>
            <w:tcW w:type="dxa" w:w="1728"/>
          </w:tcPr>
          <w:p>
            <w:r>
              <w:rPr>
                <w:sz w:val="16"/>
              </w:rPr>
              <w:t>No federation</w:t>
            </w:r>
          </w:p>
        </w:tc>
        <w:tc>
          <w:tcPr>
            <w:tcW w:type="dxa" w:w="1728"/>
          </w:tcPr>
          <w:p>
            <w:r>
              <w:rPr>
                <w:sz w:val="16"/>
              </w:rPr>
              <w:t>❌ Absent</w:t>
            </w:r>
          </w:p>
        </w:tc>
        <w:tc>
          <w:tcPr>
            <w:tcW w:type="dxa" w:w="1728"/>
          </w:tcPr>
          <w:p>
            <w:r>
              <w:rPr>
                <w:sz w:val="16"/>
              </w:rPr>
              <w:t>—</w:t>
            </w:r>
          </w:p>
        </w:tc>
        <w:tc>
          <w:tcPr>
            <w:tcW w:type="dxa" w:w="1728"/>
          </w:tcPr>
          <w:p>
            <w:r>
              <w:rPr>
                <w:sz w:val="16"/>
              </w:rPr>
              <w:t>Content accessible only via internal APIs. No enterprise discoverability.</w:t>
            </w:r>
          </w:p>
        </w:tc>
      </w:tr>
      <w:tr>
        <w:tc>
          <w:tcPr>
            <w:tcW w:type="dxa" w:w="1728"/>
          </w:tcPr>
          <w:p>
            <w:r>
              <w:rPr>
                <w:sz w:val="16"/>
              </w:rPr>
              <w:t>Data Product Governance</w:t>
            </w:r>
          </w:p>
        </w:tc>
        <w:tc>
          <w:tcPr>
            <w:tcW w:type="dxa" w:w="1728"/>
          </w:tcPr>
          <w:p>
            <w:r>
              <w:rPr>
                <w:sz w:val="16"/>
              </w:rPr>
              <w:t>No contracts, SLAs, consumer obligations</w:t>
            </w:r>
          </w:p>
        </w:tc>
        <w:tc>
          <w:tcPr>
            <w:tcW w:type="dxa" w:w="1728"/>
          </w:tcPr>
          <w:p>
            <w:r>
              <w:rPr>
                <w:sz w:val="16"/>
              </w:rPr>
              <w:t>❌ Absent</w:t>
            </w:r>
          </w:p>
        </w:tc>
        <w:tc>
          <w:tcPr>
            <w:tcW w:type="dxa" w:w="1728"/>
          </w:tcPr>
          <w:p>
            <w:r>
              <w:rPr>
                <w:sz w:val="16"/>
              </w:rPr>
              <w:t>—</w:t>
            </w:r>
          </w:p>
        </w:tc>
        <w:tc>
          <w:tcPr>
            <w:tcW w:type="dxa" w:w="1728"/>
          </w:tcPr>
          <w:p>
            <w:r>
              <w:rPr>
                <w:sz w:val="16"/>
              </w:rPr>
              <w:t>No governance model for downstream consumption. This is the defining gap — without it, Codify remains a use-case success, not an enterprise data product.</w:t>
            </w:r>
          </w:p>
        </w:tc>
      </w:tr>
    </w:tbl>
    <w:p/>
    <w:p>
      <w:pPr>
        <w:pStyle w:val="Heading2"/>
      </w:pPr>
      <w:r>
        <w:t>Layer 8 — Retrieval &amp; Consumption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Retrieval Orchestration &amp; Hybrid Search</w:t>
            </w:r>
          </w:p>
        </w:tc>
        <w:tc>
          <w:tcPr>
            <w:tcW w:type="dxa" w:w="1728"/>
          </w:tcPr>
          <w:p>
            <w:r>
              <w:rPr>
                <w:sz w:val="16"/>
              </w:rPr>
              <w:t>Semantic + KG Retrieval with fusion</w:t>
            </w:r>
          </w:p>
        </w:tc>
        <w:tc>
          <w:tcPr>
            <w:tcW w:type="dxa" w:w="1728"/>
          </w:tcPr>
          <w:p>
            <w:r>
              <w:rPr>
                <w:sz w:val="16"/>
              </w:rPr>
              <w:t>✅ Implemented</w:t>
            </w:r>
          </w:p>
        </w:tc>
        <w:tc>
          <w:tcPr>
            <w:tcW w:type="dxa" w:w="1728"/>
          </w:tcPr>
          <w:p>
            <w:r>
              <w:rPr>
                <w:sz w:val="16"/>
              </w:rPr>
              <w:t>Use Case Team</w:t>
            </w:r>
          </w:p>
        </w:tc>
        <w:tc>
          <w:tcPr>
            <w:tcW w:type="dxa" w:w="1728"/>
          </w:tcPr>
          <w:p>
            <w:r>
              <w:rPr>
                <w:sz w:val="16"/>
              </w:rPr>
              <w:t>Strong hybrid retrieval. Vector + graph traversal fusion is a differentiating pattern.</w:t>
            </w:r>
          </w:p>
        </w:tc>
      </w:tr>
      <w:tr>
        <w:tc>
          <w:tcPr>
            <w:tcW w:type="dxa" w:w="1728"/>
          </w:tcPr>
          <w:p>
            <w:r>
              <w:rPr>
                <w:sz w:val="16"/>
              </w:rPr>
              <w:t>Content &amp; Query APIs</w:t>
            </w:r>
          </w:p>
        </w:tc>
        <w:tc>
          <w:tcPr>
            <w:tcW w:type="dxa" w:w="1728"/>
          </w:tcPr>
          <w:p>
            <w:r>
              <w:rPr>
                <w:sz w:val="16"/>
              </w:rPr>
              <w:t>REST via Spring Boot on GKE</w:t>
            </w:r>
          </w:p>
        </w:tc>
        <w:tc>
          <w:tcPr>
            <w:tcW w:type="dxa" w:w="1728"/>
          </w:tcPr>
          <w:p>
            <w:r>
              <w:rPr>
                <w:sz w:val="16"/>
              </w:rPr>
              <w:t>✅ Implemented</w:t>
            </w:r>
          </w:p>
        </w:tc>
        <w:tc>
          <w:tcPr>
            <w:tcW w:type="dxa" w:w="1728"/>
          </w:tcPr>
          <w:p>
            <w:r>
              <w:rPr>
                <w:sz w:val="16"/>
              </w:rPr>
              <w:t>Use Case Team</w:t>
            </w:r>
          </w:p>
        </w:tc>
        <w:tc>
          <w:tcPr>
            <w:tcW w:type="dxa" w:w="1728"/>
          </w:tcPr>
          <w:p>
            <w:r>
              <w:rPr>
                <w:sz w:val="16"/>
              </w:rPr>
              <w:t>Functional but not yet extensible to external consumers without retrieval-time governance.</w:t>
            </w:r>
          </w:p>
        </w:tc>
      </w:tr>
      <w:tr>
        <w:tc>
          <w:tcPr>
            <w:tcW w:type="dxa" w:w="1728"/>
          </w:tcPr>
          <w:p>
            <w:r>
              <w:rPr>
                <w:sz w:val="16"/>
              </w:rPr>
              <w:t>RAG &amp; Agentic Experiences</w:t>
            </w:r>
          </w:p>
        </w:tc>
        <w:tc>
          <w:tcPr>
            <w:tcW w:type="dxa" w:w="1728"/>
          </w:tcPr>
          <w:p>
            <w:r>
              <w:rPr>
                <w:sz w:val="16"/>
              </w:rPr>
              <w:t>KG-RAG Retriever in React SPA</w:t>
            </w:r>
          </w:p>
        </w:tc>
        <w:tc>
          <w:tcPr>
            <w:tcW w:type="dxa" w:w="1728"/>
          </w:tcPr>
          <w:p>
            <w:r>
              <w:rPr>
                <w:sz w:val="16"/>
              </w:rPr>
              <w:t>✅ Implemented</w:t>
            </w:r>
          </w:p>
        </w:tc>
        <w:tc>
          <w:tcPr>
            <w:tcW w:type="dxa" w:w="1728"/>
          </w:tcPr>
          <w:p>
            <w:r>
              <w:rPr>
                <w:sz w:val="16"/>
              </w:rPr>
              <w:t>Use Case Team</w:t>
            </w:r>
          </w:p>
        </w:tc>
        <w:tc>
          <w:tcPr>
            <w:tcW w:type="dxa" w:w="1728"/>
          </w:tcPr>
          <w:p>
            <w:r>
              <w:rPr>
                <w:sz w:val="16"/>
              </w:rPr>
              <w:t>Combined vector+graph RAG. Sophisticated but currently internal-only.</w:t>
            </w:r>
          </w:p>
        </w:tc>
      </w:tr>
      <w:tr>
        <w:tc>
          <w:tcPr>
            <w:tcW w:type="dxa" w:w="1728"/>
          </w:tcPr>
          <w:p>
            <w:r>
              <w:rPr>
                <w:sz w:val="16"/>
              </w:rPr>
              <w:t>HITL Review Interface</w:t>
            </w:r>
          </w:p>
        </w:tc>
        <w:tc>
          <w:tcPr>
            <w:tcW w:type="dxa" w:w="1728"/>
          </w:tcPr>
          <w:p>
            <w:r>
              <w:rPr>
                <w:sz w:val="16"/>
              </w:rPr>
              <w:t>React SPA with approval workflow</w:t>
            </w:r>
          </w:p>
        </w:tc>
        <w:tc>
          <w:tcPr>
            <w:tcW w:type="dxa" w:w="1728"/>
          </w:tcPr>
          <w:p>
            <w:r>
              <w:rPr>
                <w:sz w:val="16"/>
              </w:rPr>
              <w:t>✅ Implemented</w:t>
            </w:r>
          </w:p>
        </w:tc>
        <w:tc>
          <w:tcPr>
            <w:tcW w:type="dxa" w:w="1728"/>
          </w:tcPr>
          <w:p>
            <w:r>
              <w:rPr>
                <w:sz w:val="16"/>
              </w:rPr>
              <w:t>Use Case Team</w:t>
            </w:r>
          </w:p>
        </w:tc>
        <w:tc>
          <w:tcPr>
            <w:tcW w:type="dxa" w:w="1728"/>
          </w:tcPr>
          <w:p>
            <w:r>
              <w:rPr>
                <w:sz w:val="16"/>
              </w:rPr>
              <w:t>Three actor roles (Reviewer, Approver, SME). Approval decisions form the audit trail.</w:t>
            </w:r>
          </w:p>
        </w:tc>
      </w:tr>
      <w:tr>
        <w:tc>
          <w:tcPr>
            <w:tcW w:type="dxa" w:w="1728"/>
          </w:tcPr>
          <w:p>
            <w:r>
              <w:rPr>
                <w:sz w:val="16"/>
              </w:rPr>
              <w:t>Retrieval-Time Governance</w:t>
            </w:r>
          </w:p>
        </w:tc>
        <w:tc>
          <w:tcPr>
            <w:tcW w:type="dxa" w:w="1728"/>
          </w:tcPr>
          <w:p>
            <w:r>
              <w:rPr>
                <w:sz w:val="16"/>
              </w:rPr>
              <w:t>No runtime entitlement filtering</w:t>
            </w:r>
          </w:p>
        </w:tc>
        <w:tc>
          <w:tcPr>
            <w:tcW w:type="dxa" w:w="1728"/>
          </w:tcPr>
          <w:p>
            <w:r>
              <w:rPr>
                <w:sz w:val="16"/>
              </w:rPr>
              <w:t>❌ Absent</w:t>
            </w:r>
          </w:p>
        </w:tc>
        <w:tc>
          <w:tcPr>
            <w:tcW w:type="dxa" w:w="1728"/>
          </w:tcPr>
          <w:p>
            <w:r>
              <w:rPr>
                <w:sz w:val="16"/>
              </w:rPr>
              <w:t>—</w:t>
            </w:r>
          </w:p>
        </w:tc>
        <w:tc>
          <w:tcPr>
            <w:tcW w:type="dxa" w:w="1728"/>
          </w:tcPr>
          <w:p>
            <w:r>
              <w:rPr>
                <w:sz w:val="16"/>
              </w:rPr>
              <w:t>Any authenticated user can query all content. Classification labels from preparation are not enforced at retrieval. Critical for Fabric publication.</w:t>
            </w:r>
          </w:p>
        </w:tc>
      </w:tr>
      <w:tr>
        <w:tc>
          <w:tcPr>
            <w:tcW w:type="dxa" w:w="1728"/>
          </w:tcPr>
          <w:p>
            <w:r>
              <w:rPr>
                <w:sz w:val="16"/>
              </w:rPr>
              <w:t>Provenance at Retrieval</w:t>
            </w:r>
          </w:p>
        </w:tc>
        <w:tc>
          <w:tcPr>
            <w:tcW w:type="dxa" w:w="1728"/>
          </w:tcPr>
          <w:p>
            <w:r>
              <w:rPr>
                <w:sz w:val="16"/>
              </w:rPr>
              <w:t>No provenance metadata surfaced</w:t>
            </w:r>
          </w:p>
        </w:tc>
        <w:tc>
          <w:tcPr>
            <w:tcW w:type="dxa" w:w="1728"/>
          </w:tcPr>
          <w:p>
            <w:r>
              <w:rPr>
                <w:sz w:val="16"/>
              </w:rPr>
              <w:t>❌ Absent</w:t>
            </w:r>
          </w:p>
        </w:tc>
        <w:tc>
          <w:tcPr>
            <w:tcW w:type="dxa" w:w="1728"/>
          </w:tcPr>
          <w:p>
            <w:r>
              <w:rPr>
                <w:sz w:val="16"/>
              </w:rPr>
              <w:t>—</w:t>
            </w:r>
          </w:p>
        </w:tc>
        <w:tc>
          <w:tcPr>
            <w:tcW w:type="dxa" w:w="1728"/>
          </w:tcPr>
          <w:p>
            <w:r>
              <w:rPr>
                <w:sz w:val="16"/>
              </w:rPr>
              <w:t>Users cannot see where a retrieved chunk originated. Limits trust and audit confidence.</w:t>
            </w:r>
          </w:p>
        </w:tc>
      </w:tr>
      <w:tr>
        <w:tc>
          <w:tcPr>
            <w:tcW w:type="dxa" w:w="1728"/>
          </w:tcPr>
          <w:p>
            <w:r>
              <w:rPr>
                <w:sz w:val="16"/>
              </w:rPr>
              <w:t>Enterprise App &amp; Analytics</w:t>
            </w:r>
          </w:p>
        </w:tc>
        <w:tc>
          <w:tcPr>
            <w:tcW w:type="dxa" w:w="1728"/>
          </w:tcPr>
          <w:p>
            <w:r>
              <w:rPr>
                <w:sz w:val="16"/>
              </w:rPr>
              <w:t>No BI or external consumption</w:t>
            </w:r>
          </w:p>
        </w:tc>
        <w:tc>
          <w:tcPr>
            <w:tcW w:type="dxa" w:w="1728"/>
          </w:tcPr>
          <w:p>
            <w:r>
              <w:rPr>
                <w:sz w:val="16"/>
              </w:rPr>
              <w:t>❌ Absent</w:t>
            </w:r>
          </w:p>
        </w:tc>
        <w:tc>
          <w:tcPr>
            <w:tcW w:type="dxa" w:w="1728"/>
          </w:tcPr>
          <w:p>
            <w:r>
              <w:rPr>
                <w:sz w:val="16"/>
              </w:rPr>
              <w:t>—</w:t>
            </w:r>
          </w:p>
        </w:tc>
        <w:tc>
          <w:tcPr>
            <w:tcW w:type="dxa" w:w="1728"/>
          </w:tcPr>
          <w:p>
            <w:r>
              <w:rPr>
                <w:sz w:val="16"/>
              </w:rPr>
              <w:t>No analytical consumption path. Fabric publication would enable BI and downstream integration.</w:t>
            </w:r>
          </w:p>
        </w:tc>
      </w:tr>
    </w:tbl>
    <w:p/>
    <w:p>
      <w:pPr>
        <w:pStyle w:val="Heading2"/>
      </w:pPr>
      <w:r>
        <w:t>Layer 9 — Cross-Cutting Controls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Identity &amp; Access</w:t>
            </w:r>
          </w:p>
        </w:tc>
        <w:tc>
          <w:tcPr>
            <w:tcW w:type="dxa" w:w="1728"/>
          </w:tcPr>
          <w:p>
            <w:r>
              <w:rPr>
                <w:sz w:val="16"/>
              </w:rPr>
              <w:t>DMS + Digital Auth System</w:t>
            </w:r>
          </w:p>
        </w:tc>
        <w:tc>
          <w:tcPr>
            <w:tcW w:type="dxa" w:w="1728"/>
          </w:tcPr>
          <w:p>
            <w:r>
              <w:rPr>
                <w:sz w:val="16"/>
              </w:rPr>
              <w:t>✅ Implemented</w:t>
            </w:r>
          </w:p>
        </w:tc>
        <w:tc>
          <w:tcPr>
            <w:tcW w:type="dxa" w:w="1728"/>
          </w:tcPr>
          <w:p>
            <w:r>
              <w:rPr>
                <w:sz w:val="16"/>
              </w:rPr>
              <w:t>Enterprise / UDL Platform</w:t>
            </w:r>
          </w:p>
        </w:tc>
        <w:tc>
          <w:tcPr>
            <w:tcW w:type="dxa" w:w="1728"/>
          </w:tcPr>
          <w:p>
            <w:r>
              <w:rPr>
                <w:sz w:val="16"/>
              </w:rPr>
              <w:t>Well-implemented. Enterprise shared service.</w:t>
            </w:r>
          </w:p>
        </w:tc>
      </w:tr>
      <w:tr>
        <w:tc>
          <w:tcPr>
            <w:tcW w:type="dxa" w:w="1728"/>
          </w:tcPr>
          <w:p>
            <w:r>
              <w:rPr>
                <w:sz w:val="16"/>
              </w:rPr>
              <w:t>Audit &amp; Observability</w:t>
            </w:r>
          </w:p>
        </w:tc>
        <w:tc>
          <w:tcPr>
            <w:tcW w:type="dxa" w:w="1728"/>
          </w:tcPr>
          <w:p>
            <w:r>
              <w:rPr>
                <w:sz w:val="16"/>
              </w:rPr>
              <w:t>OTel across all layers</w:t>
            </w:r>
          </w:p>
        </w:tc>
        <w:tc>
          <w:tcPr>
            <w:tcW w:type="dxa" w:w="1728"/>
          </w:tcPr>
          <w:p>
            <w:r>
              <w:rPr>
                <w:sz w:val="16"/>
              </w:rPr>
              <w:t>✅ Implemented</w:t>
            </w:r>
          </w:p>
        </w:tc>
        <w:tc>
          <w:tcPr>
            <w:tcW w:type="dxa" w:w="1728"/>
          </w:tcPr>
          <w:p>
            <w:r>
              <w:rPr>
                <w:sz w:val="16"/>
              </w:rPr>
              <w:t>Use Case Team / UDL</w:t>
            </w:r>
          </w:p>
        </w:tc>
        <w:tc>
          <w:tcPr>
            <w:tcW w:type="dxa" w:w="1728"/>
          </w:tcPr>
          <w:p>
            <w:r>
              <w:rPr>
                <w:sz w:val="16"/>
              </w:rPr>
              <w:t>End-to-end tracing via MCP headers. Strong operational visibility.</w:t>
            </w:r>
          </w:p>
        </w:tc>
      </w:tr>
      <w:tr>
        <w:tc>
          <w:tcPr>
            <w:tcW w:type="dxa" w:w="1728"/>
          </w:tcPr>
          <w:p>
            <w:r>
              <w:rPr>
                <w:sz w:val="16"/>
              </w:rPr>
              <w:t>IaC &amp; Change Management</w:t>
            </w:r>
          </w:p>
        </w:tc>
        <w:tc>
          <w:tcPr>
            <w:tcW w:type="dxa" w:w="1728"/>
          </w:tcPr>
          <w:p>
            <w:r>
              <w:rPr>
                <w:sz w:val="16"/>
              </w:rPr>
              <w:t>Jenkins CI/CD + GitOps</w:t>
            </w:r>
          </w:p>
        </w:tc>
        <w:tc>
          <w:tcPr>
            <w:tcW w:type="dxa" w:w="1728"/>
          </w:tcPr>
          <w:p>
            <w:r>
              <w:rPr>
                <w:sz w:val="16"/>
              </w:rPr>
              <w:t>✅ Implemented</w:t>
            </w:r>
          </w:p>
        </w:tc>
        <w:tc>
          <w:tcPr>
            <w:tcW w:type="dxa" w:w="1728"/>
          </w:tcPr>
          <w:p>
            <w:r>
              <w:rPr>
                <w:sz w:val="16"/>
              </w:rPr>
              <w:t>Use Case Team</w:t>
            </w:r>
          </w:p>
        </w:tc>
        <w:tc>
          <w:tcPr>
            <w:tcW w:type="dxa" w:w="1728"/>
          </w:tcPr>
          <w:p>
            <w:r>
              <w:rPr>
                <w:sz w:val="16"/>
              </w:rPr>
              <w:t>Includes ontology pipeline as CI/CD artefact. Good practice.</w:t>
            </w:r>
          </w:p>
        </w:tc>
      </w:tr>
      <w:tr>
        <w:tc>
          <w:tcPr>
            <w:tcW w:type="dxa" w:w="1728"/>
          </w:tcPr>
          <w:p>
            <w:r>
              <w:rPr>
                <w:sz w:val="16"/>
              </w:rPr>
              <w:t>HITL Quality Gate</w:t>
            </w:r>
          </w:p>
        </w:tc>
        <w:tc>
          <w:tcPr>
            <w:tcW w:type="dxa" w:w="1728"/>
          </w:tcPr>
          <w:p>
            <w:r>
              <w:rPr>
                <w:sz w:val="16"/>
              </w:rPr>
              <w:t>Multi-judge + human review</w:t>
            </w:r>
          </w:p>
        </w:tc>
        <w:tc>
          <w:tcPr>
            <w:tcW w:type="dxa" w:w="1728"/>
          </w:tcPr>
          <w:p>
            <w:r>
              <w:rPr>
                <w:sz w:val="16"/>
              </w:rPr>
              <w:t>✅ Implemented</w:t>
            </w:r>
          </w:p>
        </w:tc>
        <w:tc>
          <w:tcPr>
            <w:tcW w:type="dxa" w:w="1728"/>
          </w:tcPr>
          <w:p>
            <w:r>
              <w:rPr>
                <w:sz w:val="16"/>
              </w:rPr>
              <w:t>Use Case Team</w:t>
            </w:r>
          </w:p>
        </w:tc>
        <w:tc>
          <w:tcPr>
            <w:tcW w:type="dxa" w:w="1728"/>
          </w:tcPr>
          <w:p>
            <w:r>
              <w:rPr>
                <w:sz w:val="16"/>
              </w:rPr>
              <w:t>Exceeds reference architecture minimum. Dual-path QA is a strength.</w:t>
            </w:r>
          </w:p>
        </w:tc>
      </w:tr>
      <w:tr>
        <w:tc>
          <w:tcPr>
            <w:tcW w:type="dxa" w:w="1728"/>
          </w:tcPr>
          <w:p>
            <w:r>
              <w:rPr>
                <w:sz w:val="16"/>
              </w:rPr>
              <w:t>Responsible AI</w:t>
            </w:r>
          </w:p>
        </w:tc>
        <w:tc>
          <w:tcPr>
            <w:tcW w:type="dxa" w:w="1728"/>
          </w:tcPr>
          <w:p>
            <w:r>
              <w:rPr>
                <w:sz w:val="16"/>
              </w:rPr>
              <w:t>Group AI moderation + HITL</w:t>
            </w:r>
          </w:p>
        </w:tc>
        <w:tc>
          <w:tcPr>
            <w:tcW w:type="dxa" w:w="1728"/>
          </w:tcPr>
          <w:p>
            <w:r>
              <w:rPr>
                <w:sz w:val="16"/>
              </w:rPr>
              <w:t>⚠️ Partial</w:t>
            </w:r>
          </w:p>
        </w:tc>
        <w:tc>
          <w:tcPr>
            <w:tcW w:type="dxa" w:w="1728"/>
          </w:tcPr>
          <w:p>
            <w:r>
              <w:rPr>
                <w:sz w:val="16"/>
              </w:rPr>
              <w:t>Group AI / Use Case Team</w:t>
            </w:r>
          </w:p>
        </w:tc>
        <w:tc>
          <w:tcPr>
            <w:tcW w:type="dxa" w:w="1728"/>
          </w:tcPr>
          <w:p>
            <w:r>
              <w:rPr>
                <w:sz w:val="16"/>
              </w:rPr>
              <w:t>Output-side moderation exists. No input-side bias detection or explainability evidence.</w:t>
            </w:r>
          </w:p>
        </w:tc>
      </w:tr>
      <w:tr>
        <w:tc>
          <w:tcPr>
            <w:tcW w:type="dxa" w:w="1728"/>
          </w:tcPr>
          <w:p>
            <w:r>
              <w:rPr>
                <w:sz w:val="16"/>
              </w:rPr>
              <w:t>Policy &amp; DLP</w:t>
            </w:r>
          </w:p>
        </w:tc>
        <w:tc>
          <w:tcPr>
            <w:tcW w:type="dxa" w:w="1728"/>
          </w:tcPr>
          <w:p>
            <w:r>
              <w:rPr>
                <w:sz w:val="16"/>
              </w:rPr>
              <w:t>Output-side safety only</w:t>
            </w:r>
          </w:p>
        </w:tc>
        <w:tc>
          <w:tcPr>
            <w:tcW w:type="dxa" w:w="1728"/>
          </w:tcPr>
          <w:p>
            <w:r>
              <w:rPr>
                <w:sz w:val="16"/>
              </w:rPr>
              <w:t>⚠️ Partial</w:t>
            </w:r>
          </w:p>
        </w:tc>
        <w:tc>
          <w:tcPr>
            <w:tcW w:type="dxa" w:w="1728"/>
          </w:tcPr>
          <w:p>
            <w:r>
              <w:rPr>
                <w:sz w:val="16"/>
              </w:rPr>
              <w:t>Group AI</w:t>
            </w:r>
          </w:p>
        </w:tc>
        <w:tc>
          <w:tcPr>
            <w:tcW w:type="dxa" w:w="1728"/>
          </w:tcPr>
          <w:p>
            <w:r>
              <w:rPr>
                <w:sz w:val="16"/>
              </w:rPr>
              <w:t>No DLP gate before semantic processing. Group AI moderation catches output issues but not PII in embeddings/graph.</w:t>
            </w:r>
          </w:p>
        </w:tc>
      </w:tr>
      <w:tr>
        <w:tc>
          <w:tcPr>
            <w:tcW w:type="dxa" w:w="1728"/>
          </w:tcPr>
          <w:p>
            <w:r>
              <w:rPr>
                <w:sz w:val="16"/>
              </w:rPr>
              <w:t>Lineage &amp; Provenance</w:t>
            </w:r>
          </w:p>
        </w:tc>
        <w:tc>
          <w:tcPr>
            <w:tcW w:type="dxa" w:w="1728"/>
          </w:tcPr>
          <w:p>
            <w:r>
              <w:rPr>
                <w:sz w:val="16"/>
              </w:rPr>
              <w:t>BigQuery operational lineage</w:t>
            </w:r>
          </w:p>
        </w:tc>
        <w:tc>
          <w:tcPr>
            <w:tcW w:type="dxa" w:w="1728"/>
          </w:tcPr>
          <w:p>
            <w:r>
              <w:rPr>
                <w:sz w:val="16"/>
              </w:rPr>
              <w:t>⚠️ Partial</w:t>
            </w:r>
          </w:p>
        </w:tc>
        <w:tc>
          <w:tcPr>
            <w:tcW w:type="dxa" w:w="1728"/>
          </w:tcPr>
          <w:p>
            <w:r>
              <w:rPr>
                <w:sz w:val="16"/>
              </w:rPr>
              <w:t>Use Case Team / GCP</w:t>
            </w:r>
          </w:p>
        </w:tc>
        <w:tc>
          <w:tcPr>
            <w:tcW w:type="dxa" w:w="1728"/>
          </w:tcPr>
          <w:p>
            <w:r>
              <w:rPr>
                <w:sz w:val="16"/>
              </w:rPr>
              <w:t>Technical lineage exists. Not enterprise-published. Cannot satisfy external audit requirements.</w:t>
            </w:r>
          </w:p>
        </w:tc>
      </w:tr>
      <w:tr>
        <w:tc>
          <w:tcPr>
            <w:tcW w:type="dxa" w:w="1728"/>
          </w:tcPr>
          <w:p>
            <w:r>
              <w:rPr>
                <w:sz w:val="16"/>
              </w:rPr>
              <w:t>Encryption &amp; Keys</w:t>
            </w:r>
          </w:p>
        </w:tc>
        <w:tc>
          <w:tcPr>
            <w:tcW w:type="dxa" w:w="1728"/>
          </w:tcPr>
          <w:p>
            <w:r>
              <w:rPr>
                <w:sz w:val="16"/>
              </w:rPr>
              <w:t>GCP-managed defaults</w:t>
            </w:r>
          </w:p>
        </w:tc>
        <w:tc>
          <w:tcPr>
            <w:tcW w:type="dxa" w:w="1728"/>
          </w:tcPr>
          <w:p>
            <w:r>
              <w:rPr>
                <w:sz w:val="16"/>
              </w:rPr>
              <w:t>⚠️ Partial</w:t>
            </w:r>
          </w:p>
        </w:tc>
        <w:tc>
          <w:tcPr>
            <w:tcW w:type="dxa" w:w="1728"/>
          </w:tcPr>
          <w:p>
            <w:r>
              <w:rPr>
                <w:sz w:val="16"/>
              </w:rPr>
              <w:t>GCP Managed</w:t>
            </w:r>
          </w:p>
        </w:tc>
        <w:tc>
          <w:tcPr>
            <w:tcW w:type="dxa" w:w="1728"/>
          </w:tcPr>
          <w:p>
            <w:r>
              <w:rPr>
                <w:sz w:val="16"/>
              </w:rPr>
              <w:t>Implicit via GCP. No explicit key governance or HSM integration.</w:t>
            </w:r>
          </w:p>
        </w:tc>
      </w:tr>
      <w:tr>
        <w:tc>
          <w:tcPr>
            <w:tcW w:type="dxa" w:w="1728"/>
          </w:tcPr>
          <w:p>
            <w:r>
              <w:rPr>
                <w:sz w:val="16"/>
              </w:rPr>
              <w:t>Sovereignty &amp; Residency</w:t>
            </w:r>
          </w:p>
        </w:tc>
        <w:tc>
          <w:tcPr>
            <w:tcW w:type="dxa" w:w="1728"/>
          </w:tcPr>
          <w:p>
            <w:r>
              <w:rPr>
                <w:sz w:val="16"/>
              </w:rPr>
              <w:t>No residency routing</w:t>
            </w:r>
          </w:p>
        </w:tc>
        <w:tc>
          <w:tcPr>
            <w:tcW w:type="dxa" w:w="1728"/>
          </w:tcPr>
          <w:p>
            <w:r>
              <w:rPr>
                <w:sz w:val="16"/>
              </w:rPr>
              <w:t>❌ Absent</w:t>
            </w:r>
          </w:p>
        </w:tc>
        <w:tc>
          <w:tcPr>
            <w:tcW w:type="dxa" w:w="1728"/>
          </w:tcPr>
          <w:p>
            <w:r>
              <w:rPr>
                <w:sz w:val="16"/>
              </w:rPr>
              <w:t>—</w:t>
            </w:r>
          </w:p>
        </w:tc>
        <w:tc>
          <w:tcPr>
            <w:tcW w:type="dxa" w:w="1728"/>
          </w:tcPr>
          <w:p>
            <w:r>
              <w:rPr>
                <w:sz w:val="16"/>
              </w:rPr>
              <w:t>Low R1 impact (UK policy content). Becomes blocking for cross-border expansion.</w:t>
            </w:r>
          </w:p>
        </w:tc>
      </w:tr>
      <w:tr>
        <w:tc>
          <w:tcPr>
            <w:tcW w:type="dxa" w:w="1728"/>
          </w:tcPr>
          <w:p>
            <w:r>
              <w:rPr>
                <w:sz w:val="16"/>
              </w:rPr>
              <w:t>Runtime Access Governance</w:t>
            </w:r>
          </w:p>
        </w:tc>
        <w:tc>
          <w:tcPr>
            <w:tcW w:type="dxa" w:w="1728"/>
          </w:tcPr>
          <w:p>
            <w:r>
              <w:rPr>
                <w:sz w:val="16"/>
              </w:rPr>
              <w:t>No dynamic entitlement</w:t>
            </w:r>
          </w:p>
        </w:tc>
        <w:tc>
          <w:tcPr>
            <w:tcW w:type="dxa" w:w="1728"/>
          </w:tcPr>
          <w:p>
            <w:r>
              <w:rPr>
                <w:sz w:val="16"/>
              </w:rPr>
              <w:t>❌ Absent</w:t>
            </w:r>
          </w:p>
        </w:tc>
        <w:tc>
          <w:tcPr>
            <w:tcW w:type="dxa" w:w="1728"/>
          </w:tcPr>
          <w:p>
            <w:r>
              <w:rPr>
                <w:sz w:val="16"/>
              </w:rPr>
              <w:t>—</w:t>
            </w:r>
          </w:p>
        </w:tc>
        <w:tc>
          <w:tcPr>
            <w:tcW w:type="dxa" w:w="1728"/>
          </w:tcPr>
          <w:p>
            <w:r>
              <w:rPr>
                <w:sz w:val="16"/>
              </w:rPr>
              <w:t>Retrieval-time governance gap. Must be closed before Fabric publication.</w:t>
            </w:r>
          </w:p>
        </w:tc>
      </w:tr>
      <w:tr>
        <w:tc>
          <w:tcPr>
            <w:tcW w:type="dxa" w:w="1728"/>
          </w:tcPr>
          <w:p>
            <w:r>
              <w:rPr>
                <w:sz w:val="16"/>
              </w:rPr>
              <w:t>Legal &amp; Trust</w:t>
            </w:r>
          </w:p>
        </w:tc>
        <w:tc>
          <w:tcPr>
            <w:tcW w:type="dxa" w:w="1728"/>
          </w:tcPr>
          <w:p>
            <w:r>
              <w:rPr>
                <w:sz w:val="16"/>
              </w:rPr>
              <w:t>N/A for internal R1 content</w:t>
            </w:r>
          </w:p>
        </w:tc>
        <w:tc>
          <w:tcPr>
            <w:tcW w:type="dxa" w:w="1728"/>
          </w:tcPr>
          <w:p>
            <w:r>
              <w:rPr>
                <w:sz w:val="16"/>
              </w:rPr>
              <w:t>❌ Absent</w:t>
            </w:r>
          </w:p>
        </w:tc>
        <w:tc>
          <w:tcPr>
            <w:tcW w:type="dxa" w:w="1728"/>
          </w:tcPr>
          <w:p>
            <w:r>
              <w:rPr>
                <w:sz w:val="16"/>
              </w:rPr>
              <w:t>—</w:t>
            </w:r>
          </w:p>
        </w:tc>
        <w:tc>
          <w:tcPr>
            <w:tcW w:type="dxa" w:w="1728"/>
          </w:tcPr>
          <w:p>
            <w:r>
              <w:rPr>
                <w:sz w:val="16"/>
              </w:rPr>
              <w:t>Framework needed when external content (regulatory filings) is onboarded.</w:t>
            </w:r>
          </w:p>
        </w:tc>
      </w:tr>
      <w:tr>
        <w:tc>
          <w:tcPr>
            <w:tcW w:type="dxa" w:w="1728"/>
          </w:tcPr>
          <w:p>
            <w:r>
              <w:rPr>
                <w:sz w:val="16"/>
              </w:rPr>
              <w:t>Model Governance Evidence</w:t>
            </w:r>
          </w:p>
        </w:tc>
        <w:tc>
          <w:tcPr>
            <w:tcW w:type="dxa" w:w="1728"/>
          </w:tcPr>
          <w:p>
            <w:r>
              <w:rPr>
                <w:sz w:val="16"/>
              </w:rPr>
              <w:t>No bias detection or model-version audit trail</w:t>
            </w:r>
          </w:p>
        </w:tc>
        <w:tc>
          <w:tcPr>
            <w:tcW w:type="dxa" w:w="1728"/>
          </w:tcPr>
          <w:p>
            <w:r>
              <w:rPr>
                <w:sz w:val="16"/>
              </w:rPr>
              <w:t>❌ Absent</w:t>
            </w:r>
          </w:p>
        </w:tc>
        <w:tc>
          <w:tcPr>
            <w:tcW w:type="dxa" w:w="1728"/>
          </w:tcPr>
          <w:p>
            <w:r>
              <w:rPr>
                <w:sz w:val="16"/>
              </w:rPr>
              <w:t>—</w:t>
            </w:r>
          </w:p>
        </w:tc>
        <w:tc>
          <w:tcPr>
            <w:tcW w:type="dxa" w:w="1728"/>
          </w:tcPr>
          <w:p>
            <w:r>
              <w:rPr>
                <w:sz w:val="16"/>
              </w:rPr>
              <w:t>No link between model version and output quality tier. Regulatory requirement for AI-generated authoritative content.</w:t>
            </w:r>
          </w:p>
        </w:tc>
      </w:tr>
    </w:tbl>
    <w:p/>
    <w:p>
      <w:pPr>
        <w:pStyle w:val="Heading1"/>
      </w:pPr>
      <w:r>
        <w:t>5. Build Ownership Summary</w:t>
      </w:r>
    </w:p>
    <w:p>
      <w:pPr>
        <w:pStyle w:val="Heading2"/>
      </w:pPr>
      <w:r>
        <w:t>Built by Group AI Platform (Shared Enterprise Services)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003366" w:val="clear"/>
          </w:tcPr>
          <w:p>
            <w:r>
              <w:rPr>
                <w:b/>
                <w:color w:val="FFFFFF"/>
                <w:sz w:val="16"/>
              </w:rPr>
              <w:t>Capability</w:t>
            </w:r>
          </w:p>
        </w:tc>
        <w:tc>
          <w:tcPr>
            <w:tcW w:type="dxa" w:w="2880"/>
            <w:shd w:fill="003366" w:val="clear"/>
          </w:tcPr>
          <w:p>
            <w:r>
              <w:rPr>
                <w:b/>
                <w:color w:val="FFFFFF"/>
                <w:sz w:val="16"/>
              </w:rPr>
              <w:t>Detail</w:t>
            </w:r>
          </w:p>
        </w:tc>
        <w:tc>
          <w:tcPr>
            <w:tcW w:type="dxa" w:w="2880"/>
            <w:shd w:fill="003366" w:val="clear"/>
          </w:tcPr>
          <w:p>
            <w:r>
              <w:rPr>
                <w:b/>
                <w:color w:val="FFFFFF"/>
                <w:sz w:val="16"/>
              </w:rPr>
              <w:t>Comment / Justification</w:t>
            </w:r>
          </w:p>
        </w:tc>
      </w:tr>
      <w:tr>
        <w:tc>
          <w:tcPr>
            <w:tcW w:type="dxa" w:w="2880"/>
          </w:tcPr>
          <w:p>
            <w:r>
              <w:rPr>
                <w:sz w:val="16"/>
              </w:rPr>
              <w:t>LLM Services</w:t>
            </w:r>
          </w:p>
        </w:tc>
        <w:tc>
          <w:tcPr>
            <w:tcW w:type="dxa" w:w="2880"/>
          </w:tcPr>
          <w:p>
            <w:r>
              <w:rPr>
                <w:sz w:val="16"/>
              </w:rPr>
              <w:t>Foundation and fine-tuned LLMs</w:t>
            </w:r>
          </w:p>
        </w:tc>
        <w:tc>
          <w:tcPr>
            <w:tcW w:type="dxa" w:w="2880"/>
          </w:tcPr>
          <w:p>
            <w:r>
              <w:rPr>
                <w:sz w:val="16"/>
              </w:rPr>
              <w:t>Use case consumes via UDL LLM Adapter. All three agentic workflows depend on Group AI LLM inference.</w:t>
            </w:r>
          </w:p>
        </w:tc>
      </w:tr>
      <w:tr>
        <w:tc>
          <w:tcPr>
            <w:tcW w:type="dxa" w:w="2880"/>
          </w:tcPr>
          <w:p>
            <w:r>
              <w:rPr>
                <w:sz w:val="16"/>
              </w:rPr>
              <w:t>Embedding Models</w:t>
            </w:r>
          </w:p>
        </w:tc>
        <w:tc>
          <w:tcPr>
            <w:tcW w:type="dxa" w:w="2880"/>
          </w:tcPr>
          <w:p>
            <w:r>
              <w:rPr>
                <w:sz w:val="16"/>
              </w:rPr>
              <w:t>Embedding model endpoints</w:t>
            </w:r>
          </w:p>
        </w:tc>
        <w:tc>
          <w:tcPr>
            <w:tcW w:type="dxa" w:w="2880"/>
          </w:tcPr>
          <w:p>
            <w:r>
              <w:rPr>
                <w:sz w:val="16"/>
              </w:rPr>
              <w:t>Group AI provides the models. The use case team orchestrates the embedding pipeline (chunking, generation, indexing) independently.</w:t>
            </w:r>
          </w:p>
        </w:tc>
      </w:tr>
      <w:tr>
        <w:tc>
          <w:tcPr>
            <w:tcW w:type="dxa" w:w="2880"/>
          </w:tcPr>
          <w:p>
            <w:r>
              <w:rPr>
                <w:sz w:val="16"/>
              </w:rPr>
              <w:t>Content Moderation &amp; Guardrails</w:t>
            </w:r>
          </w:p>
        </w:tc>
        <w:tc>
          <w:tcPr>
            <w:tcW w:type="dxa" w:w="2880"/>
          </w:tcPr>
          <w:p>
            <w:r>
              <w:rPr>
                <w:sz w:val="16"/>
              </w:rPr>
              <w:t>Output-side safety guardrails</w:t>
            </w:r>
          </w:p>
        </w:tc>
        <w:tc>
          <w:tcPr>
            <w:tcW w:type="dxa" w:w="2880"/>
          </w:tcPr>
          <w:p>
            <w:r>
              <w:rPr>
                <w:sz w:val="16"/>
              </w:rPr>
              <w:t>Applied to LLM responses. Does NOT cover input-side PII detection before embedding/graph build.</w:t>
            </w:r>
          </w:p>
        </w:tc>
      </w:tr>
      <w:tr>
        <w:tc>
          <w:tcPr>
            <w:tcW w:type="dxa" w:w="2880"/>
          </w:tcPr>
          <w:p>
            <w:r>
              <w:rPr>
                <w:sz w:val="16"/>
              </w:rPr>
              <w:t>VectorDB-as-a-Service (planned)</w:t>
            </w:r>
          </w:p>
        </w:tc>
        <w:tc>
          <w:tcPr>
            <w:tcW w:type="dxa" w:w="2880"/>
          </w:tcPr>
          <w:p>
            <w:r>
              <w:rPr>
                <w:sz w:val="16"/>
              </w:rPr>
              <w:t>Shared enterprise vector store</w:t>
            </w:r>
          </w:p>
        </w:tc>
        <w:tc>
          <w:tcPr>
            <w:tcW w:type="dxa" w:w="2880"/>
          </w:tcPr>
          <w:p>
            <w:r>
              <w:rPr>
                <w:sz w:val="16"/>
              </w:rPr>
              <w:t>Group AI intends to offer this as a shared service. Currently the use case runs its own Vector DB. Migration should be evaluated when the shared service is production-ready.</w:t>
            </w:r>
          </w:p>
        </w:tc>
      </w:tr>
      <w:tr>
        <w:tc>
          <w:tcPr>
            <w:tcW w:type="dxa" w:w="2880"/>
          </w:tcPr>
          <w:p>
            <w:r>
              <w:rPr>
                <w:sz w:val="16"/>
              </w:rPr>
              <w:t>Shared Embedding Services (planned)</w:t>
            </w:r>
          </w:p>
        </w:tc>
        <w:tc>
          <w:tcPr>
            <w:tcW w:type="dxa" w:w="2880"/>
          </w:tcPr>
          <w:p>
            <w:r>
              <w:rPr>
                <w:sz w:val="16"/>
              </w:rPr>
              <w:t>Centralised embedding generation</w:t>
            </w:r>
          </w:p>
        </w:tc>
        <w:tc>
          <w:tcPr>
            <w:tcW w:type="dxa" w:w="2880"/>
          </w:tcPr>
          <w:p>
            <w:r>
              <w:rPr>
                <w:sz w:val="16"/>
              </w:rPr>
              <w:t>Group AI plans to centralise. Currently the use case owns the full embedding pipeline. Convergence is needed to avoid duplication and ensure model governance consistency.</w:t>
            </w:r>
          </w:p>
        </w:tc>
      </w:tr>
    </w:tbl>
    <w:p/>
    <w:p>
      <w:pPr>
        <w:pStyle w:val="Heading2"/>
      </w:pPr>
      <w:r>
        <w:t>Built by UDL Data Platform (CIB)</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003366" w:val="clear"/>
          </w:tcPr>
          <w:p>
            <w:r>
              <w:rPr>
                <w:b/>
                <w:color w:val="FFFFFF"/>
                <w:sz w:val="16"/>
              </w:rPr>
              <w:t>Capability</w:t>
            </w:r>
          </w:p>
        </w:tc>
        <w:tc>
          <w:tcPr>
            <w:tcW w:type="dxa" w:w="2880"/>
            <w:shd w:fill="003366" w:val="clear"/>
          </w:tcPr>
          <w:p>
            <w:r>
              <w:rPr>
                <w:b/>
                <w:color w:val="FFFFFF"/>
                <w:sz w:val="16"/>
              </w:rPr>
              <w:t>Detail</w:t>
            </w:r>
          </w:p>
        </w:tc>
        <w:tc>
          <w:tcPr>
            <w:tcW w:type="dxa" w:w="2880"/>
            <w:shd w:fill="003366" w:val="clear"/>
          </w:tcPr>
          <w:p>
            <w:r>
              <w:rPr>
                <w:b/>
                <w:color w:val="FFFFFF"/>
                <w:sz w:val="16"/>
              </w:rPr>
              <w:t>Comment / Justification</w:t>
            </w:r>
          </w:p>
        </w:tc>
      </w:tr>
      <w:tr>
        <w:tc>
          <w:tcPr>
            <w:tcW w:type="dxa" w:w="2880"/>
          </w:tcPr>
          <w:p>
            <w:r>
              <w:rPr>
                <w:sz w:val="16"/>
              </w:rPr>
              <w:t>LLM Service Adapter (SDK)</w:t>
            </w:r>
          </w:p>
        </w:tc>
        <w:tc>
          <w:tcPr>
            <w:tcW w:type="dxa" w:w="2880"/>
          </w:tcPr>
          <w:p>
            <w:r>
              <w:rPr>
                <w:sz w:val="16"/>
              </w:rPr>
              <w:t>Abstraction layer for model access</w:t>
            </w:r>
          </w:p>
        </w:tc>
        <w:tc>
          <w:tcPr>
            <w:tcW w:type="dxa" w:w="2880"/>
          </w:tcPr>
          <w:p>
            <w:r>
              <w:rPr>
                <w:sz w:val="16"/>
              </w:rPr>
              <w:t>Critical decoupling. Enables model upgrades without orchestration changes. Reusable across all use cases.</w:t>
            </w:r>
          </w:p>
        </w:tc>
      </w:tr>
      <w:tr>
        <w:tc>
          <w:tcPr>
            <w:tcW w:type="dxa" w:w="2880"/>
          </w:tcPr>
          <w:p>
            <w:r>
              <w:rPr>
                <w:sz w:val="16"/>
              </w:rPr>
              <w:t>API Integration SDK</w:t>
            </w:r>
          </w:p>
        </w:tc>
        <w:tc>
          <w:tcPr>
            <w:tcW w:type="dxa" w:w="2880"/>
          </w:tcPr>
          <w:p>
            <w:r>
              <w:rPr>
                <w:sz w:val="16"/>
              </w:rPr>
              <w:t>Inter-component connectivity</w:t>
            </w:r>
          </w:p>
        </w:tc>
        <w:tc>
          <w:tcPr>
            <w:tcW w:type="dxa" w:w="2880"/>
          </w:tcPr>
          <w:p>
            <w:r>
              <w:rPr>
                <w:sz w:val="16"/>
              </w:rPr>
              <w:t>Standardised patterns. Shared service.</w:t>
            </w:r>
          </w:p>
        </w:tc>
      </w:tr>
      <w:tr>
        <w:tc>
          <w:tcPr>
            <w:tcW w:type="dxa" w:w="2880"/>
          </w:tcPr>
          <w:p>
            <w:r>
              <w:rPr>
                <w:sz w:val="16"/>
              </w:rPr>
              <w:t>Session State &amp; Cache</w:t>
            </w:r>
          </w:p>
        </w:tc>
        <w:tc>
          <w:tcPr>
            <w:tcW w:type="dxa" w:w="2880"/>
          </w:tcPr>
          <w:p>
            <w:r>
              <w:rPr>
                <w:sz w:val="16"/>
              </w:rPr>
              <w:t>Session management and caching</w:t>
            </w:r>
          </w:p>
        </w:tc>
        <w:tc>
          <w:tcPr>
            <w:tcW w:type="dxa" w:w="2880"/>
          </w:tcPr>
          <w:p>
            <w:r>
              <w:rPr>
                <w:sz w:val="16"/>
              </w:rPr>
              <w:t>Already reusable. Voice/Audio and KMS can consume directly.</w:t>
            </w:r>
          </w:p>
        </w:tc>
      </w:tr>
      <w:tr>
        <w:tc>
          <w:tcPr>
            <w:tcW w:type="dxa" w:w="2880"/>
          </w:tcPr>
          <w:p>
            <w:r>
              <w:rPr>
                <w:sz w:val="16"/>
              </w:rPr>
              <w:t>Auth Service</w:t>
            </w:r>
          </w:p>
        </w:tc>
        <w:tc>
          <w:tcPr>
            <w:tcW w:type="dxa" w:w="2880"/>
          </w:tcPr>
          <w:p>
            <w:r>
              <w:rPr>
                <w:sz w:val="16"/>
              </w:rPr>
              <w:t>Platform-level authentication</w:t>
            </w:r>
          </w:p>
        </w:tc>
        <w:tc>
          <w:tcPr>
            <w:tcW w:type="dxa" w:w="2880"/>
          </w:tcPr>
          <w:p>
            <w:r>
              <w:rPr>
                <w:sz w:val="16"/>
              </w:rPr>
              <w:t>Shared inter-component auth.</w:t>
            </w:r>
          </w:p>
        </w:tc>
      </w:tr>
      <w:tr>
        <w:tc>
          <w:tcPr>
            <w:tcW w:type="dxa" w:w="2880"/>
          </w:tcPr>
          <w:p>
            <w:r>
              <w:rPr>
                <w:sz w:val="16"/>
              </w:rPr>
              <w:t>Digital Authentication System</w:t>
            </w:r>
          </w:p>
        </w:tc>
        <w:tc>
          <w:tcPr>
            <w:tcW w:type="dxa" w:w="2880"/>
          </w:tcPr>
          <w:p>
            <w:r>
              <w:rPr>
                <w:sz w:val="16"/>
              </w:rPr>
              <w:t>Enterprise digital identity</w:t>
            </w:r>
          </w:p>
        </w:tc>
        <w:tc>
          <w:tcPr>
            <w:tcW w:type="dxa" w:w="2880"/>
          </w:tcPr>
          <w:p>
            <w:r>
              <w:rPr>
                <w:sz w:val="16"/>
              </w:rPr>
              <w:t>Enterprise integration point.</w:t>
            </w:r>
          </w:p>
        </w:tc>
      </w:tr>
    </w:tbl>
    <w:p/>
    <w:p>
      <w:pPr>
        <w:pStyle w:val="Heading2"/>
      </w:pPr>
      <w:r>
        <w:t>Built by Use Case Team (Codify the Bank)</w:t>
      </w:r>
    </w:p>
    <w:p>
      <w:r>
        <w:t>The use case team has built: manual document ingestion process, preprocessing &amp; chunking microservices, LangGraph orchestration engine, all three agentic workflows (ReAuthor, Validation, KG &amp; Vector — 10+ agents), MCP Client &amp; Server, Neo4j KG (on-prem), embedding pipeline orchestration, vector index management, Spring Boot backend, React SPA frontend, retrieval services, CI/CD, and OTel instrumentation.</w:t>
      </w:r>
    </w:p>
    <w:p>
      <w:r>
        <w:rPr>
          <w:b/>
        </w:rPr>
        <w:t xml:space="preserve">Architect note: </w:t>
      </w:r>
      <w:r>
        <w:t>The use case team has implemented embedding generation, chunking, and vector index management as bespoke pipelines that integrate with Group AI for the underlying embedding models. Group AI plans to offer shared VectorDB-as-a-Service and centralised embedding services. When these are production-ready, the use case should evaluate migration to reduce duplication, improve model governance consistency, and lower total cost of ownership. Until then, the bespoke implementation is justified — it enabled R1 delivery without waiting for shared service maturity.</w:t>
      </w:r>
    </w:p>
    <w:p>
      <w:pPr>
        <w:pStyle w:val="Heading1"/>
      </w:pPr>
      <w:r>
        <w:t>6. Missing Capabilities &amp; Future Benefit</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03366" w:val="clear"/>
          </w:tcPr>
          <w:p>
            <w:r>
              <w:rPr>
                <w:b/>
                <w:color w:val="FFFFFF"/>
                <w:sz w:val="16"/>
              </w:rPr>
              <w:t>Priority</w:t>
            </w:r>
          </w:p>
        </w:tc>
        <w:tc>
          <w:tcPr>
            <w:tcW w:type="dxa" w:w="1440"/>
            <w:shd w:fill="003366" w:val="clear"/>
          </w:tcPr>
          <w:p>
            <w:r>
              <w:rPr>
                <w:b/>
                <w:color w:val="FFFFFF"/>
                <w:sz w:val="16"/>
              </w:rPr>
              <w:t>Gap</w:t>
            </w:r>
          </w:p>
        </w:tc>
        <w:tc>
          <w:tcPr>
            <w:tcW w:type="dxa" w:w="1440"/>
            <w:shd w:fill="003366" w:val="clear"/>
          </w:tcPr>
          <w:p>
            <w:r>
              <w:rPr>
                <w:b/>
                <w:color w:val="FFFFFF"/>
                <w:sz w:val="16"/>
              </w:rPr>
              <w:t>Layer</w:t>
            </w:r>
          </w:p>
        </w:tc>
        <w:tc>
          <w:tcPr>
            <w:tcW w:type="dxa" w:w="1440"/>
            <w:shd w:fill="003366" w:val="clear"/>
          </w:tcPr>
          <w:p>
            <w:r>
              <w:rPr>
                <w:b/>
                <w:color w:val="FFFFFF"/>
                <w:sz w:val="16"/>
              </w:rPr>
              <w:t>What Is Missing</w:t>
            </w:r>
          </w:p>
        </w:tc>
        <w:tc>
          <w:tcPr>
            <w:tcW w:type="dxa" w:w="1440"/>
            <w:shd w:fill="003366" w:val="clear"/>
          </w:tcPr>
          <w:p>
            <w:r>
              <w:rPr>
                <w:b/>
                <w:color w:val="FFFFFF"/>
                <w:sz w:val="16"/>
              </w:rPr>
              <w:t>Benefit</w:t>
            </w:r>
          </w:p>
        </w:tc>
        <w:tc>
          <w:tcPr>
            <w:tcW w:type="dxa" w:w="1440"/>
            <w:shd w:fill="003366" w:val="clear"/>
          </w:tcPr>
          <w:p>
            <w:r>
              <w:rPr>
                <w:b/>
                <w:color w:val="FFFFFF"/>
                <w:sz w:val="16"/>
              </w:rPr>
              <w:t>Architect Justification</w:t>
            </w:r>
          </w:p>
        </w:tc>
      </w:tr>
      <w:tr>
        <w:tc>
          <w:tcPr>
            <w:tcW w:type="dxa" w:w="1440"/>
          </w:tcPr>
          <w:p>
            <w:r>
              <w:rPr>
                <w:sz w:val="16"/>
              </w:rPr>
              <w:t>P1</w:t>
            </w:r>
          </w:p>
        </w:tc>
        <w:tc>
          <w:tcPr>
            <w:tcW w:type="dxa" w:w="1440"/>
          </w:tcPr>
          <w:p>
            <w:r>
              <w:rPr>
                <w:sz w:val="16"/>
              </w:rPr>
              <w:t>Fabric Data Product Access</w:t>
            </w:r>
          </w:p>
        </w:tc>
        <w:tc>
          <w:tcPr>
            <w:tcW w:type="dxa" w:w="1440"/>
          </w:tcPr>
          <w:p>
            <w:r>
              <w:rPr>
                <w:sz w:val="16"/>
              </w:rPr>
              <w:t>7</w:t>
            </w:r>
          </w:p>
        </w:tc>
        <w:tc>
          <w:tcPr>
            <w:tcW w:type="dxa" w:w="1440"/>
          </w:tcPr>
          <w:p>
            <w:r>
              <w:rPr>
                <w:sz w:val="16"/>
              </w:rPr>
              <w:t>Entire Fabric layer absent</w:t>
            </w:r>
          </w:p>
        </w:tc>
        <w:tc>
          <w:tcPr>
            <w:tcW w:type="dxa" w:w="1440"/>
          </w:tcPr>
          <w:p>
            <w:r>
              <w:rPr>
                <w:sz w:val="16"/>
              </w:rPr>
              <w:t>Transforms outputs into enterprise data products</w:t>
            </w:r>
          </w:p>
        </w:tc>
        <w:tc>
          <w:tcPr>
            <w:tcW w:type="dxa" w:w="1440"/>
          </w:tcPr>
          <w:p>
            <w:r>
              <w:rPr>
                <w:sz w:val="16"/>
              </w:rPr>
              <w:t>The defining gap. Without Fabric, Codify remains siloed. With Fabric, it becomes the first enterprise unstructured data product — the pattern all use cases follow.</w:t>
            </w:r>
          </w:p>
        </w:tc>
      </w:tr>
      <w:tr>
        <w:tc>
          <w:tcPr>
            <w:tcW w:type="dxa" w:w="1440"/>
          </w:tcPr>
          <w:p>
            <w:r>
              <w:rPr>
                <w:sz w:val="16"/>
              </w:rPr>
              <w:t>P2</w:t>
            </w:r>
          </w:p>
        </w:tc>
        <w:tc>
          <w:tcPr>
            <w:tcW w:type="dxa" w:w="1440"/>
          </w:tcPr>
          <w:p>
            <w:r>
              <w:rPr>
                <w:sz w:val="16"/>
              </w:rPr>
              <w:t>Redaction &amp; DLP Gate</w:t>
            </w:r>
          </w:p>
        </w:tc>
        <w:tc>
          <w:tcPr>
            <w:tcW w:type="dxa" w:w="1440"/>
          </w:tcPr>
          <w:p>
            <w:r>
              <w:rPr>
                <w:sz w:val="16"/>
              </w:rPr>
              <w:t>3</w:t>
            </w:r>
          </w:p>
        </w:tc>
        <w:tc>
          <w:tcPr>
            <w:tcW w:type="dxa" w:w="1440"/>
          </w:tcPr>
          <w:p>
            <w:r>
              <w:rPr>
                <w:sz w:val="16"/>
              </w:rPr>
              <w:t>No PII detection before semantic processing</w:t>
            </w:r>
          </w:p>
        </w:tc>
        <w:tc>
          <w:tcPr>
            <w:tcW w:type="dxa" w:w="1440"/>
          </w:tcPr>
          <w:p>
            <w:r>
              <w:rPr>
                <w:sz w:val="16"/>
              </w:rPr>
              <w:t>Verifiable assurance that vector/graph stores are PII-free</w:t>
            </w:r>
          </w:p>
        </w:tc>
        <w:tc>
          <w:tcPr>
            <w:tcW w:type="dxa" w:w="1440"/>
          </w:tcPr>
          <w:p>
            <w:r>
              <w:rPr>
                <w:sz w:val="16"/>
              </w:rPr>
              <w:t>First-order regulatory exposure. Group AI moderation is output-side only. A pre-processing DLP gate is a prerequisite for restricted content classes.</w:t>
            </w:r>
          </w:p>
        </w:tc>
      </w:tr>
      <w:tr>
        <w:tc>
          <w:tcPr>
            <w:tcW w:type="dxa" w:w="1440"/>
          </w:tcPr>
          <w:p>
            <w:r>
              <w:rPr>
                <w:sz w:val="16"/>
              </w:rPr>
              <w:t>P3</w:t>
            </w:r>
          </w:p>
        </w:tc>
        <w:tc>
          <w:tcPr>
            <w:tcW w:type="dxa" w:w="1440"/>
          </w:tcPr>
          <w:p>
            <w:r>
              <w:rPr>
                <w:sz w:val="16"/>
              </w:rPr>
              <w:t>Policy-Aware Routing</w:t>
            </w:r>
          </w:p>
        </w:tc>
        <w:tc>
          <w:tcPr>
            <w:tcW w:type="dxa" w:w="1440"/>
          </w:tcPr>
          <w:p>
            <w:r>
              <w:rPr>
                <w:sz w:val="16"/>
              </w:rPr>
              <w:t>2</w:t>
            </w:r>
          </w:p>
        </w:tc>
        <w:tc>
          <w:tcPr>
            <w:tcW w:type="dxa" w:w="1440"/>
          </w:tcPr>
          <w:p>
            <w:r>
              <w:rPr>
                <w:sz w:val="16"/>
              </w:rPr>
              <w:t>Single fixed path; no sensitivity/residency routing</w:t>
            </w:r>
          </w:p>
        </w:tc>
        <w:tc>
          <w:tcPr>
            <w:tcW w:type="dxa" w:w="1440"/>
          </w:tcPr>
          <w:p>
            <w:r>
              <w:rPr>
                <w:sz w:val="16"/>
              </w:rPr>
              <w:t>Automated restricted-content handling</w:t>
            </w:r>
          </w:p>
        </w:tc>
        <w:tc>
          <w:tcPr>
            <w:tcW w:type="dxa" w:w="1440"/>
          </w:tcPr>
          <w:p>
            <w:r>
              <w:rPr>
                <w:sz w:val="16"/>
              </w:rPr>
              <w:t>First enterprise control evidence point. Without it, sovereignty cannot be demonstrated at intake.</w:t>
            </w:r>
          </w:p>
        </w:tc>
      </w:tr>
      <w:tr>
        <w:tc>
          <w:tcPr>
            <w:tcW w:type="dxa" w:w="1440"/>
          </w:tcPr>
          <w:p>
            <w:r>
              <w:rPr>
                <w:sz w:val="16"/>
              </w:rPr>
              <w:t>P4</w:t>
            </w:r>
          </w:p>
        </w:tc>
        <w:tc>
          <w:tcPr>
            <w:tcW w:type="dxa" w:w="1440"/>
          </w:tcPr>
          <w:p>
            <w:r>
              <w:rPr>
                <w:sz w:val="16"/>
              </w:rPr>
              <w:t>AI Observability &amp; FinOps</w:t>
            </w:r>
          </w:p>
        </w:tc>
        <w:tc>
          <w:tcPr>
            <w:tcW w:type="dxa" w:w="1440"/>
          </w:tcPr>
          <w:p>
            <w:r>
              <w:rPr>
                <w:sz w:val="16"/>
              </w:rPr>
              <w:t>5</w:t>
            </w:r>
          </w:p>
        </w:tc>
        <w:tc>
          <w:tcPr>
            <w:tcW w:type="dxa" w:w="1440"/>
          </w:tcPr>
          <w:p>
            <w:r>
              <w:rPr>
                <w:sz w:val="16"/>
              </w:rPr>
              <w:t>No cost attribution, token metering, quotas</w:t>
            </w:r>
          </w:p>
        </w:tc>
        <w:tc>
          <w:tcPr>
            <w:tcW w:type="dxa" w:w="1440"/>
          </w:tcPr>
          <w:p>
            <w:r>
              <w:rPr>
                <w:sz w:val="16"/>
              </w:rPr>
              <w:t>Cost visibility for high-LLM-intensity pipeline</w:t>
            </w:r>
          </w:p>
        </w:tc>
        <w:tc>
          <w:tcPr>
            <w:tcW w:type="dxa" w:w="1440"/>
          </w:tcPr>
          <w:p>
            <w:r>
              <w:rPr>
                <w:sz w:val="16"/>
              </w:rPr>
              <w:t>Multi-judge validation is unusually token-intensive. Requires Group AI alignment on FinOps telemetry interfaces.</w:t>
            </w:r>
          </w:p>
        </w:tc>
      </w:tr>
      <w:tr>
        <w:tc>
          <w:tcPr>
            <w:tcW w:type="dxa" w:w="1440"/>
          </w:tcPr>
          <w:p>
            <w:r>
              <w:rPr>
                <w:sz w:val="16"/>
              </w:rPr>
              <w:t>P5</w:t>
            </w:r>
          </w:p>
        </w:tc>
        <w:tc>
          <w:tcPr>
            <w:tcW w:type="dxa" w:w="1440"/>
          </w:tcPr>
          <w:p>
            <w:r>
              <w:rPr>
                <w:sz w:val="16"/>
              </w:rPr>
              <w:t>Enterprise Metadata Publication</w:t>
            </w:r>
          </w:p>
        </w:tc>
        <w:tc>
          <w:tcPr>
            <w:tcW w:type="dxa" w:w="1440"/>
          </w:tcPr>
          <w:p>
            <w:r>
              <w:rPr>
                <w:sz w:val="16"/>
              </w:rPr>
              <w:t>6/CC</w:t>
            </w:r>
          </w:p>
        </w:tc>
        <w:tc>
          <w:tcPr>
            <w:tcW w:type="dxa" w:w="1440"/>
          </w:tcPr>
          <w:p>
            <w:r>
              <w:rPr>
                <w:sz w:val="16"/>
              </w:rPr>
              <w:t>Lineage local to BigQuery</w:t>
            </w:r>
          </w:p>
        </w:tc>
        <w:tc>
          <w:tcPr>
            <w:tcW w:type="dxa" w:w="1440"/>
          </w:tcPr>
          <w:p>
            <w:r>
              <w:rPr>
                <w:sz w:val="16"/>
              </w:rPr>
              <w:t>Audit-defensible end-to-end traceability</w:t>
            </w:r>
          </w:p>
        </w:tc>
        <w:tc>
          <w:tcPr>
            <w:tcW w:type="dxa" w:w="1440"/>
          </w:tcPr>
          <w:p>
            <w:r>
              <w:rPr>
                <w:sz w:val="16"/>
              </w:rPr>
              <w:t>Prerequisite for Fabric publication. Metadata &amp; Catalogue workstream dependency must be actively managed.</w:t>
            </w:r>
          </w:p>
        </w:tc>
      </w:tr>
      <w:tr>
        <w:tc>
          <w:tcPr>
            <w:tcW w:type="dxa" w:w="1440"/>
          </w:tcPr>
          <w:p>
            <w:r>
              <w:rPr>
                <w:sz w:val="16"/>
              </w:rPr>
              <w:t>P6</w:t>
            </w:r>
          </w:p>
        </w:tc>
        <w:tc>
          <w:tcPr>
            <w:tcW w:type="dxa" w:w="1440"/>
          </w:tcPr>
          <w:p>
            <w:r>
              <w:rPr>
                <w:sz w:val="16"/>
              </w:rPr>
              <w:t>Retrieval-Time Governance</w:t>
            </w:r>
          </w:p>
        </w:tc>
        <w:tc>
          <w:tcPr>
            <w:tcW w:type="dxa" w:w="1440"/>
          </w:tcPr>
          <w:p>
            <w:r>
              <w:rPr>
                <w:sz w:val="16"/>
              </w:rPr>
              <w:t>8</w:t>
            </w:r>
          </w:p>
        </w:tc>
        <w:tc>
          <w:tcPr>
            <w:tcW w:type="dxa" w:w="1440"/>
          </w:tcPr>
          <w:p>
            <w:r>
              <w:rPr>
                <w:sz w:val="16"/>
              </w:rPr>
              <w:t>No entitlement filtering at retrieval</w:t>
            </w:r>
          </w:p>
        </w:tc>
        <w:tc>
          <w:tcPr>
            <w:tcW w:type="dxa" w:w="1440"/>
          </w:tcPr>
          <w:p>
            <w:r>
              <w:rPr>
                <w:sz w:val="16"/>
              </w:rPr>
              <w:t>Classification enforcement at the data layer</w:t>
            </w:r>
          </w:p>
        </w:tc>
        <w:tc>
          <w:tcPr>
            <w:tcW w:type="dxa" w:w="1440"/>
          </w:tcPr>
          <w:p>
            <w:r>
              <w:rPr>
                <w:sz w:val="16"/>
              </w:rPr>
              <w:t>Required before any Fabric-published content can be safely consumed by external teams.</w:t>
            </w:r>
          </w:p>
        </w:tc>
      </w:tr>
      <w:tr>
        <w:tc>
          <w:tcPr>
            <w:tcW w:type="dxa" w:w="1440"/>
          </w:tcPr>
          <w:p>
            <w:r>
              <w:rPr>
                <w:sz w:val="16"/>
              </w:rPr>
              <w:t>P7</w:t>
            </w:r>
          </w:p>
        </w:tc>
        <w:tc>
          <w:tcPr>
            <w:tcW w:type="dxa" w:w="1440"/>
          </w:tcPr>
          <w:p>
            <w:r>
              <w:rPr>
                <w:sz w:val="16"/>
              </w:rPr>
              <w:t>Model Governance Evidence</w:t>
            </w:r>
          </w:p>
        </w:tc>
        <w:tc>
          <w:tcPr>
            <w:tcW w:type="dxa" w:w="1440"/>
          </w:tcPr>
          <w:p>
            <w:r>
              <w:rPr>
                <w:sz w:val="16"/>
              </w:rPr>
              <w:t>CC</w:t>
            </w:r>
          </w:p>
        </w:tc>
        <w:tc>
          <w:tcPr>
            <w:tcW w:type="dxa" w:w="1440"/>
          </w:tcPr>
          <w:p>
            <w:r>
              <w:rPr>
                <w:sz w:val="16"/>
              </w:rPr>
              <w:t>No model version audit trail</w:t>
            </w:r>
          </w:p>
        </w:tc>
        <w:tc>
          <w:tcPr>
            <w:tcW w:type="dxa" w:w="1440"/>
          </w:tcPr>
          <w:p>
            <w:r>
              <w:rPr>
                <w:sz w:val="16"/>
              </w:rPr>
              <w:t>Regulatory evidence for AI-generated content</w:t>
            </w:r>
          </w:p>
        </w:tc>
        <w:tc>
          <w:tcPr>
            <w:tcW w:type="dxa" w:w="1440"/>
          </w:tcPr>
          <w:p>
            <w:r>
              <w:rPr>
                <w:sz w:val="16"/>
              </w:rPr>
              <w:t>HITL gate provides human oversight but does not constitute model governance evidence on its own.</w:t>
            </w:r>
          </w:p>
        </w:tc>
      </w:tr>
      <w:tr>
        <w:tc>
          <w:tcPr>
            <w:tcW w:type="dxa" w:w="1440"/>
          </w:tcPr>
          <w:p>
            <w:r>
              <w:rPr>
                <w:sz w:val="16"/>
              </w:rPr>
              <w:t>P8</w:t>
            </w:r>
          </w:p>
        </w:tc>
        <w:tc>
          <w:tcPr>
            <w:tcW w:type="dxa" w:w="1440"/>
          </w:tcPr>
          <w:p>
            <w:r>
              <w:rPr>
                <w:sz w:val="16"/>
              </w:rPr>
              <w:t>Sovereignty &amp; Residency</w:t>
            </w:r>
          </w:p>
        </w:tc>
        <w:tc>
          <w:tcPr>
            <w:tcW w:type="dxa" w:w="1440"/>
          </w:tcPr>
          <w:p>
            <w:r>
              <w:rPr>
                <w:sz w:val="16"/>
              </w:rPr>
              <w:t>CC</w:t>
            </w:r>
          </w:p>
        </w:tc>
        <w:tc>
          <w:tcPr>
            <w:tcW w:type="dxa" w:w="1440"/>
          </w:tcPr>
          <w:p>
            <w:r>
              <w:rPr>
                <w:sz w:val="16"/>
              </w:rPr>
              <w:t>No residency-aware routing/placement</w:t>
            </w:r>
          </w:p>
        </w:tc>
        <w:tc>
          <w:tcPr>
            <w:tcW w:type="dxa" w:w="1440"/>
          </w:tcPr>
          <w:p>
            <w:r>
              <w:rPr>
                <w:sz w:val="16"/>
              </w:rPr>
              <w:t>Jurisdictional enforcement</w:t>
            </w:r>
          </w:p>
        </w:tc>
        <w:tc>
          <w:tcPr>
            <w:tcW w:type="dxa" w:w="1440"/>
          </w:tcPr>
          <w:p>
            <w:r>
              <w:rPr>
                <w:sz w:val="16"/>
              </w:rPr>
              <w:t>Low R1 impact. Becomes blocking for cross-border expansion.</w:t>
            </w:r>
          </w:p>
        </w:tc>
      </w:tr>
      <w:tr>
        <w:tc>
          <w:tcPr>
            <w:tcW w:type="dxa" w:w="1440"/>
          </w:tcPr>
          <w:p>
            <w:r>
              <w:rPr>
                <w:sz w:val="16"/>
              </w:rPr>
              <w:t>P9</w:t>
            </w:r>
          </w:p>
        </w:tc>
        <w:tc>
          <w:tcPr>
            <w:tcW w:type="dxa" w:w="1440"/>
          </w:tcPr>
          <w:p>
            <w:r>
              <w:rPr>
                <w:sz w:val="16"/>
              </w:rPr>
              <w:t>Source Registration &amp; Quarantine</w:t>
            </w:r>
          </w:p>
        </w:tc>
        <w:tc>
          <w:tcPr>
            <w:tcW w:type="dxa" w:w="1440"/>
          </w:tcPr>
          <w:p>
            <w:r>
              <w:rPr>
                <w:sz w:val="16"/>
              </w:rPr>
              <w:t>2</w:t>
            </w:r>
          </w:p>
        </w:tc>
        <w:tc>
          <w:tcPr>
            <w:tcW w:type="dxa" w:w="1440"/>
          </w:tcPr>
          <w:p>
            <w:r>
              <w:rPr>
                <w:sz w:val="16"/>
              </w:rPr>
              <w:t>No source registry or exception queue</w:t>
            </w:r>
          </w:p>
        </w:tc>
        <w:tc>
          <w:tcPr>
            <w:tcW w:type="dxa" w:w="1440"/>
          </w:tcPr>
          <w:p>
            <w:r>
              <w:rPr>
                <w:sz w:val="16"/>
              </w:rPr>
              <w:t>Foundation of shared onboarding layer</w:t>
            </w:r>
          </w:p>
        </w:tc>
        <w:tc>
          <w:tcPr>
            <w:tcW w:type="dxa" w:w="1440"/>
          </w:tcPr>
          <w:p>
            <w:r>
              <w:rPr>
                <w:sz w:val="16"/>
              </w:rPr>
              <w:t>Operational resilience improvement. Enables managed reprocessing.</w:t>
            </w:r>
          </w:p>
        </w:tc>
      </w:tr>
      <w:tr>
        <w:tc>
          <w:tcPr>
            <w:tcW w:type="dxa" w:w="1440"/>
          </w:tcPr>
          <w:p>
            <w:r>
              <w:rPr>
                <w:sz w:val="16"/>
              </w:rPr>
              <w:t>P10</w:t>
            </w:r>
          </w:p>
        </w:tc>
        <w:tc>
          <w:tcPr>
            <w:tcW w:type="dxa" w:w="1440"/>
          </w:tcPr>
          <w:p>
            <w:r>
              <w:rPr>
                <w:sz w:val="16"/>
              </w:rPr>
              <w:t>Modality Coverage</w:t>
            </w:r>
          </w:p>
        </w:tc>
        <w:tc>
          <w:tcPr>
            <w:tcW w:type="dxa" w:w="1440"/>
          </w:tcPr>
          <w:p>
            <w:r>
              <w:rPr>
                <w:sz w:val="16"/>
              </w:rPr>
              <w:t>3</w:t>
            </w:r>
          </w:p>
        </w:tc>
        <w:tc>
          <w:tcPr>
            <w:tcW w:type="dxa" w:w="1440"/>
          </w:tcPr>
          <w:p>
            <w:r>
              <w:rPr>
                <w:sz w:val="16"/>
              </w:rPr>
              <w:t>Document-only; no modality router</w:t>
            </w:r>
          </w:p>
        </w:tc>
        <w:tc>
          <w:tcPr>
            <w:tcW w:type="dxa" w:w="1440"/>
          </w:tcPr>
          <w:p>
            <w:r>
              <w:rPr>
                <w:sz w:val="16"/>
              </w:rPr>
              <w:t>Extends to audio, email, chat content</w:t>
            </w:r>
          </w:p>
        </w:tc>
        <w:tc>
          <w:tcPr>
            <w:tcW w:type="dxa" w:w="1440"/>
          </w:tcPr>
          <w:p>
            <w:r>
              <w:rPr>
                <w:sz w:val="16"/>
              </w:rPr>
              <w:t>Shared modality router enables preparation reuse. Depends on Voice/Audio workstream.</w:t>
            </w:r>
          </w:p>
        </w:tc>
      </w:tr>
    </w:tbl>
    <w:p/>
    <w:p>
      <w:pPr>
        <w:pStyle w:val="Heading1"/>
      </w:pPr>
      <w:r>
        <w:t>7. Consolidated Scorecard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003366" w:val="clear"/>
          </w:tcPr>
          <w:p>
            <w:r>
              <w:rPr>
                <w:b/>
                <w:color w:val="FFFFFF"/>
                <w:sz w:val="16"/>
              </w:rPr>
              <w:t>Layer</w:t>
            </w:r>
          </w:p>
        </w:tc>
        <w:tc>
          <w:tcPr>
            <w:tcW w:type="dxa" w:w="2160"/>
            <w:shd w:fill="003366" w:val="clear"/>
          </w:tcPr>
          <w:p>
            <w:r>
              <w:rPr>
                <w:b/>
                <w:color w:val="FFFFFF"/>
                <w:sz w:val="16"/>
              </w:rPr>
              <w:t>Capability</w:t>
            </w:r>
          </w:p>
        </w:tc>
        <w:tc>
          <w:tcPr>
            <w:tcW w:type="dxa" w:w="2160"/>
            <w:shd w:fill="003366" w:val="clear"/>
          </w:tcPr>
          <w:p>
            <w:r>
              <w:rPr>
                <w:b/>
                <w:color w:val="FFFFFF"/>
                <w:sz w:val="16"/>
              </w:rPr>
              <w:t>Coverage</w:t>
            </w:r>
          </w:p>
        </w:tc>
        <w:tc>
          <w:tcPr>
            <w:tcW w:type="dxa" w:w="2160"/>
            <w:shd w:fill="003366" w:val="clear"/>
          </w:tcPr>
          <w:p>
            <w:r>
              <w:rPr>
                <w:b/>
                <w:color w:val="FFFFFF"/>
                <w:sz w:val="16"/>
              </w:rPr>
              <w:t>Architect Comment</w:t>
            </w:r>
          </w:p>
        </w:tc>
      </w:tr>
      <w:tr>
        <w:tc>
          <w:tcPr>
            <w:tcW w:type="dxa" w:w="2160"/>
          </w:tcPr>
          <w:p>
            <w:r>
              <w:rPr>
                <w:sz w:val="16"/>
              </w:rPr>
              <w:t>1. Source Domains</w:t>
            </w:r>
          </w:p>
        </w:tc>
        <w:tc>
          <w:tcPr>
            <w:tcW w:type="dxa" w:w="2160"/>
          </w:tcPr>
          <w:p>
            <w:r>
              <w:rPr>
                <w:sz w:val="16"/>
              </w:rPr>
              <w:t>7 source classes</w:t>
            </w:r>
          </w:p>
        </w:tc>
        <w:tc>
          <w:tcPr>
            <w:tcW w:type="dxa" w:w="2160"/>
          </w:tcPr>
          <w:p>
            <w:r>
              <w:rPr>
                <w:sz w:val="16"/>
              </w:rPr>
              <w:t>⚠️ 2/7 (R1 scope)</w:t>
            </w:r>
          </w:p>
        </w:tc>
        <w:tc>
          <w:tcPr>
            <w:tcW w:type="dxa" w:w="2160"/>
          </w:tcPr>
          <w:p>
            <w:r>
              <w:rPr>
                <w:sz w:val="16"/>
              </w:rPr>
              <w:t>Appropriate scoping. Connector abstraction needed for scale.</w:t>
            </w:r>
          </w:p>
        </w:tc>
      </w:tr>
      <w:tr>
        <w:tc>
          <w:tcPr>
            <w:tcW w:type="dxa" w:w="2160"/>
          </w:tcPr>
          <w:p>
            <w:r>
              <w:rPr>
                <w:sz w:val="16"/>
              </w:rPr>
              <w:t>2. Ingestion</w:t>
            </w:r>
          </w:p>
        </w:tc>
        <w:tc>
          <w:tcPr>
            <w:tcW w:type="dxa" w:w="2160"/>
          </w:tcPr>
          <w:p>
            <w:r>
              <w:rPr>
                <w:sz w:val="16"/>
              </w:rPr>
              <w:t>Registration, connectors, quarantine, routing</w:t>
            </w:r>
          </w:p>
        </w:tc>
        <w:tc>
          <w:tcPr>
            <w:tcW w:type="dxa" w:w="2160"/>
          </w:tcPr>
          <w:p>
            <w:r>
              <w:rPr>
                <w:sz w:val="16"/>
              </w:rPr>
              <w:t>❌ All absent — manual ingestion only</w:t>
            </w:r>
          </w:p>
        </w:tc>
        <w:tc>
          <w:tcPr>
            <w:tcW w:type="dxa" w:w="2160"/>
          </w:tcPr>
          <w:p>
            <w:r>
              <w:rPr>
                <w:sz w:val="16"/>
              </w:rPr>
              <w:t>Entire layer absent. R1/R2 use manual ingestion. No automated connectors, validation, or routing. Scaling bottleneck.</w:t>
            </w:r>
          </w:p>
        </w:tc>
      </w:tr>
      <w:tr>
        <w:tc>
          <w:tcPr>
            <w:tcW w:type="dxa" w:w="2160"/>
          </w:tcPr>
          <w:p>
            <w:r>
              <w:rPr>
                <w:sz w:val="16"/>
              </w:rPr>
              <w:t>3. Preparation</w:t>
            </w:r>
          </w:p>
        </w:tc>
        <w:tc>
          <w:tcPr>
            <w:tcW w:type="dxa" w:w="2160"/>
          </w:tcPr>
          <w:p>
            <w:r>
              <w:rPr>
                <w:sz w:val="16"/>
              </w:rPr>
              <w:t>Detection, extraction, normalisation, redaction</w:t>
            </w:r>
          </w:p>
        </w:tc>
        <w:tc>
          <w:tcPr>
            <w:tcW w:type="dxa" w:w="2160"/>
          </w:tcPr>
          <w:p>
            <w:r>
              <w:rPr>
                <w:sz w:val="16"/>
              </w:rPr>
              <w:t>⚠️ Extraction strong; redaction absent</w:t>
            </w:r>
          </w:p>
        </w:tc>
        <w:tc>
          <w:tcPr>
            <w:tcW w:type="dxa" w:w="2160"/>
          </w:tcPr>
          <w:p>
            <w:r>
              <w:rPr>
                <w:sz w:val="16"/>
              </w:rPr>
              <w:t>Redaction gap is the highest regulatory exposure in the architecture.</w:t>
            </w:r>
          </w:p>
        </w:tc>
      </w:tr>
      <w:tr>
        <w:tc>
          <w:tcPr>
            <w:tcW w:type="dxa" w:w="2160"/>
          </w:tcPr>
          <w:p>
            <w:r>
              <w:rPr>
                <w:sz w:val="16"/>
              </w:rPr>
              <w:t>4. Orchestration</w:t>
            </w:r>
          </w:p>
        </w:tc>
        <w:tc>
          <w:tcPr>
            <w:tcW w:type="dxa" w:w="2160"/>
          </w:tcPr>
          <w:p>
            <w:r>
              <w:rPr>
                <w:sz w:val="16"/>
              </w:rPr>
              <w:t>Engine, agents, chunking, embedding, graph, QA, HITL</w:t>
            </w:r>
          </w:p>
        </w:tc>
        <w:tc>
          <w:tcPr>
            <w:tcW w:type="dxa" w:w="2160"/>
          </w:tcPr>
          <w:p>
            <w:r>
              <w:rPr>
                <w:sz w:val="16"/>
              </w:rPr>
              <w:t>✅ All implemented</w:t>
            </w:r>
          </w:p>
        </w:tc>
        <w:tc>
          <w:tcPr>
            <w:tcW w:type="dxa" w:w="2160"/>
          </w:tcPr>
          <w:p>
            <w:r>
              <w:rPr>
                <w:sz w:val="16"/>
              </w:rPr>
              <w:t>Strongest layer. Enterprise pattern to converge on.</w:t>
            </w:r>
          </w:p>
        </w:tc>
      </w:tr>
      <w:tr>
        <w:tc>
          <w:tcPr>
            <w:tcW w:type="dxa" w:w="2160"/>
          </w:tcPr>
          <w:p>
            <w:r>
              <w:rPr>
                <w:sz w:val="16"/>
              </w:rPr>
              <w:t>5. AI Integration</w:t>
            </w:r>
          </w:p>
        </w:tc>
        <w:tc>
          <w:tcPr>
            <w:tcW w:type="dxa" w:w="2160"/>
          </w:tcPr>
          <w:p>
            <w:r>
              <w:rPr>
                <w:sz w:val="16"/>
              </w:rPr>
              <w:t>MCP, Shared AI, Observability, FinOps</w:t>
            </w:r>
          </w:p>
        </w:tc>
        <w:tc>
          <w:tcPr>
            <w:tcW w:type="dxa" w:w="2160"/>
          </w:tcPr>
          <w:p>
            <w:r>
              <w:rPr>
                <w:sz w:val="16"/>
              </w:rPr>
              <w:t>⚠️ MCP strong; FinOps absent</w:t>
            </w:r>
          </w:p>
        </w:tc>
        <w:tc>
          <w:tcPr>
            <w:tcW w:type="dxa" w:w="2160"/>
          </w:tcPr>
          <w:p>
            <w:r>
              <w:rPr>
                <w:sz w:val="16"/>
              </w:rPr>
              <w:t>MCP is exemplary. FinOps requires Group AI alignment.</w:t>
            </w:r>
          </w:p>
        </w:tc>
      </w:tr>
      <w:tr>
        <w:tc>
          <w:tcPr>
            <w:tcW w:type="dxa" w:w="2160"/>
          </w:tcPr>
          <w:p>
            <w:r>
              <w:rPr>
                <w:sz w:val="16"/>
              </w:rPr>
              <w:t>6. Persistence</w:t>
            </w:r>
          </w:p>
        </w:tc>
        <w:tc>
          <w:tcPr>
            <w:tcW w:type="dxa" w:w="2160"/>
          </w:tcPr>
          <w:p>
            <w:r>
              <w:rPr>
                <w:sz w:val="16"/>
              </w:rPr>
              <w:t>6 storage roles + enterprise alignment</w:t>
            </w:r>
          </w:p>
        </w:tc>
        <w:tc>
          <w:tcPr>
            <w:tcW w:type="dxa" w:w="2160"/>
          </w:tcPr>
          <w:p>
            <w:r>
              <w:rPr>
                <w:sz w:val="16"/>
              </w:rPr>
              <w:t>⚠️ All roles present; catalogue absent</w:t>
            </w:r>
          </w:p>
        </w:tc>
        <w:tc>
          <w:tcPr>
            <w:tcW w:type="dxa" w:w="2160"/>
          </w:tcPr>
          <w:p>
            <w:r>
              <w:rPr>
                <w:sz w:val="16"/>
              </w:rPr>
              <w:t>Vector DB should be evaluated against Group AI VectorDB-as-a-Service when available.</w:t>
            </w:r>
          </w:p>
        </w:tc>
      </w:tr>
      <w:tr>
        <w:tc>
          <w:tcPr>
            <w:tcW w:type="dxa" w:w="2160"/>
          </w:tcPr>
          <w:p>
            <w:r>
              <w:rPr>
                <w:sz w:val="16"/>
              </w:rPr>
              <w:t>7. Fabric</w:t>
            </w:r>
          </w:p>
        </w:tc>
        <w:tc>
          <w:tcPr>
            <w:tcW w:type="dxa" w:w="2160"/>
          </w:tcPr>
          <w:p>
            <w:r>
              <w:rPr>
                <w:sz w:val="16"/>
              </w:rPr>
              <w:t>Products, governance, federation</w:t>
            </w:r>
          </w:p>
        </w:tc>
        <w:tc>
          <w:tcPr>
            <w:tcW w:type="dxa" w:w="2160"/>
          </w:tcPr>
          <w:p>
            <w:r>
              <w:rPr>
                <w:sz w:val="16"/>
              </w:rPr>
              <w:t>❌ Entirely absent</w:t>
            </w:r>
          </w:p>
        </w:tc>
        <w:tc>
          <w:tcPr>
            <w:tcW w:type="dxa" w:w="2160"/>
          </w:tcPr>
          <w:p>
            <w:r>
              <w:rPr>
                <w:sz w:val="16"/>
              </w:rPr>
              <w:t>Most significant gap. Priority 1 for enterprise value realisation.</w:t>
            </w:r>
          </w:p>
        </w:tc>
      </w:tr>
      <w:tr>
        <w:tc>
          <w:tcPr>
            <w:tcW w:type="dxa" w:w="2160"/>
          </w:tcPr>
          <w:p>
            <w:r>
              <w:rPr>
                <w:sz w:val="16"/>
              </w:rPr>
              <w:t>8. Retrieval</w:t>
            </w:r>
          </w:p>
        </w:tc>
        <w:tc>
          <w:tcPr>
            <w:tcW w:type="dxa" w:w="2160"/>
          </w:tcPr>
          <w:p>
            <w:r>
              <w:rPr>
                <w:sz w:val="16"/>
              </w:rPr>
              <w:t>Hybrid search, governance, APIs, RAG</w:t>
            </w:r>
          </w:p>
        </w:tc>
        <w:tc>
          <w:tcPr>
            <w:tcW w:type="dxa" w:w="2160"/>
          </w:tcPr>
          <w:p>
            <w:r>
              <w:rPr>
                <w:sz w:val="16"/>
              </w:rPr>
              <w:t>⚠️ Retrieval strong; governance absent</w:t>
            </w:r>
          </w:p>
        </w:tc>
        <w:tc>
          <w:tcPr>
            <w:tcW w:type="dxa" w:w="2160"/>
          </w:tcPr>
          <w:p>
            <w:r>
              <w:rPr>
                <w:sz w:val="16"/>
              </w:rPr>
              <w:t>Governance required before Fabric publication.</w:t>
            </w:r>
          </w:p>
        </w:tc>
      </w:tr>
      <w:tr>
        <w:tc>
          <w:tcPr>
            <w:tcW w:type="dxa" w:w="2160"/>
          </w:tcPr>
          <w:p>
            <w:r>
              <w:rPr>
                <w:sz w:val="16"/>
              </w:rPr>
              <w:t>9. Cross-Cutting</w:t>
            </w:r>
          </w:p>
        </w:tc>
        <w:tc>
          <w:tcPr>
            <w:tcW w:type="dxa" w:w="2160"/>
          </w:tcPr>
          <w:p>
            <w:r>
              <w:rPr>
                <w:sz w:val="16"/>
              </w:rPr>
              <w:t>Identity, DLP, lineage, sovereignty, responsible AI</w:t>
            </w:r>
          </w:p>
        </w:tc>
        <w:tc>
          <w:tcPr>
            <w:tcW w:type="dxa" w:w="2160"/>
          </w:tcPr>
          <w:p>
            <w:r>
              <w:rPr>
                <w:sz w:val="16"/>
              </w:rPr>
              <w:t>⚠️ Identity/HITL strong; DLP/sovereignty absent</w:t>
            </w:r>
          </w:p>
        </w:tc>
        <w:tc>
          <w:tcPr>
            <w:tcW w:type="dxa" w:w="2160"/>
          </w:tcPr>
          <w:p>
            <w:r>
              <w:rPr>
                <w:sz w:val="16"/>
              </w:rPr>
              <w:t>Mixed profile. Strengths in identity and observability; gaps in DLP and sovereignty.</w:t>
            </w:r>
          </w:p>
        </w:tc>
      </w:tr>
    </w:tbl>
    <w:p/>
    <w:p>
      <w:pPr>
        <w:pStyle w:val="Heading1"/>
      </w:pPr>
      <w:r>
        <w:t>8. Recommendations</w:t>
      </w:r>
    </w:p>
    <w:p>
      <w:pPr>
        <w:pStyle w:val="ListNumber"/>
      </w:pPr>
      <w:r>
        <w:t>P1: Initiate Fabric publication POC — publish codified content and KG as enterprise data products.</w:t>
      </w:r>
    </w:p>
    <w:p>
      <w:pPr>
        <w:pStyle w:val="ListNumber"/>
      </w:pPr>
      <w:r>
        <w:t>P2: Implement a shared redaction/DLP gate before semantic processing — regulatory prerequisite.</w:t>
      </w:r>
    </w:p>
    <w:p>
      <w:pPr>
        <w:pStyle w:val="ListNumber"/>
      </w:pPr>
      <w:r>
        <w:t>P3: Establish policy-aware routing at ingestion for restricted-content and residency handling.</w:t>
      </w:r>
    </w:p>
    <w:p>
      <w:pPr>
        <w:pStyle w:val="ListNumber"/>
      </w:pPr>
      <w:r>
        <w:t>P4: Align with Group AI on FinOps telemetry, VectorDB-as-a-Service roadmap, and shared embedding services timeline.</w:t>
      </w:r>
    </w:p>
    <w:p>
      <w:pPr>
        <w:pStyle w:val="ListNumber"/>
      </w:pPr>
      <w:r>
        <w:t>P5: Evaluate migration of bespoke embedding pipeline and Vector DB to Group AI shared services when production-ready.</w:t>
      </w:r>
    </w:p>
    <w:p>
      <w:pPr>
        <w:pStyle w:val="ListNumber"/>
      </w:pPr>
      <w:r>
        <w:t>P6: Initiate joint scoping with Fabric, Metadata &amp; Catalogue, and Data Governance workstreams.</w:t>
      </w:r>
    </w:p>
    <w:p>
      <w:pPr>
        <w:pStyle w:val="ListNumber"/>
      </w:pPr>
      <w:r>
        <w:t>P7: Adopt the capability scorecard as a sustained working artefact, updated as gaps are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