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2E6FA0"/>
          <w:sz w:val="22"/>
          <w:szCs w:val="22"/>
        </w:rPr>
        <w:t xml:space="preserve">AI FOR TECH — UNSTRUCTURED DATA WORKSTREAM</w:t>
      </w:r>
    </w:p>
    <w:p>
      <w:pPr>
        <w:spacing w:after="80" w:before="0"/>
      </w:pPr>
      <w:r>
        <w:rPr>
          <w:rFonts w:ascii="Calibri" w:cs="Calibri" w:eastAsia="Calibri" w:hAnsi="Calibri"/>
          <w:b/>
          <w:bCs/>
          <w:color w:val="1F3A5F"/>
          <w:sz w:val="56"/>
          <w:szCs w:val="56"/>
        </w:rPr>
        <w:t xml:space="preserve">Vector DB as a Service</w:t>
      </w:r>
    </w:p>
    <w:p>
      <w:pPr>
        <w:spacing w:after="200" w:before="0"/>
      </w:pPr>
      <w:r>
        <w:rPr>
          <w:rFonts w:ascii="Calibri" w:cs="Calibri" w:eastAsia="Calibri" w:hAnsi="Calibri"/>
          <w:i/>
          <w:iCs/>
          <w:color w:val="5B6878"/>
          <w:sz w:val="28"/>
          <w:szCs w:val="28"/>
        </w:rPr>
        <w:t xml:space="preserve">Enterprise Reference Design and Adoption Roadmap — v2.1 (refined)</w:t>
      </w:r>
    </w:p>
    <w:p>
      <w:pPr>
        <w:spacing w:after="240" w:before="0"/>
      </w:pPr>
      <w:r>
        <w:rPr>
          <w:rFonts w:ascii="Calibri" w:cs="Calibri" w:eastAsia="Calibri" w:hAnsi="Calibri"/>
          <w:color w:val="333333"/>
          <w:sz w:val="22"/>
          <w:szCs w:val="22"/>
        </w:rPr>
        <w:t xml:space="preserve">A proposed enterprise service for governed, reusable vector capability across the bank's data platforms — supporting RAG, agentic workflows, knowledge services, and Fabric-published semantic and vector-derived products under a common control plane and operating model.</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tblGrid>
      <w:tr>
        <w:trPr>
          <w:tblHeader/>
        </w:trPr>
        <w:tc>
          <w:tcPr>
            <w:tcW w:type="dxa" w:w="24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Field</w:t>
            </w:r>
          </w:p>
        </w:tc>
        <w:tc>
          <w:tcPr>
            <w:tcW w:type="dxa" w:w="7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Value</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Document</w:t>
            </w:r>
          </w:p>
        </w:tc>
        <w:tc>
          <w:tcPr>
            <w:tcW w:type="dxa" w:w="7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VectorDBaaS Reference Design &amp; Roadmap</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Version</w:t>
            </w:r>
          </w:p>
        </w:tc>
        <w:tc>
          <w:tcPr>
            <w:tcW w:type="dxa" w:w="7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2.1 (refined working-group draft)</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Status</w:t>
            </w:r>
          </w:p>
        </w:tc>
        <w:tc>
          <w:tcPr>
            <w:tcW w:type="dxa" w:w="7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Proposed enterprise pattern — for working-group review and architecture forum endorsement</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Change note</w:t>
            </w:r>
          </w:p>
        </w:tc>
        <w:tc>
          <w:tcPr>
            <w:tcW w:type="dxa" w:w="7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v2.1 applies a targeted refinement pass over v2: softens remaining absolute phrasing (Sections 2.1, 4); tightens the Fabric publication boundary clarification in Section 5.2; tightens the retrieval-quality narrative in Section 9.1; replaces 'canonical' with 'standard' in Section 4; reframes the adoption roadmap (Section 14) as phased sequencing with no committed timeline; and retains the explicit service-boundary-vs-peer-services statement. Structure and design direction are unchanged.</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Owner</w:t>
            </w:r>
          </w:p>
        </w:tc>
        <w:tc>
          <w:tcPr>
            <w:tcW w:type="dxa" w:w="7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Lead Architect — AI for Tech, Unstructured Data workstream</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Audience</w:t>
            </w:r>
          </w:p>
        </w:tc>
        <w:tc>
          <w:tcPr>
            <w:tcW w:type="dxa" w:w="7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 architects, data platform leads, Group AI, security, data governance, business-line architects (IWPB / WPB / CIB / R&amp;C)</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Related artefacts</w:t>
            </w:r>
          </w:p>
        </w:tc>
        <w:tc>
          <w:tcPr>
            <w:tcW w:type="dxa" w:w="7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Unstructured Data Reference Architecture v2; Core Capability Gap Assessment v2; Reference use cases (Codifying the Bank, Voice/Audio, Knowledge Management Services)</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Decision sought</w:t>
            </w:r>
          </w:p>
        </w:tc>
        <w:tc>
          <w:tcPr>
            <w:tcW w:type="dxa" w:w="7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Endorsement of the proposed hub-and-spoke service shape, the dual-access model, the embedding-governance position, the ownership boundaries, and the phased adoption roadmap (sequencing only — no timeline committed) as the recommended target operating shape</w:t>
            </w:r>
          </w:p>
        </w:tc>
      </w:tr>
    </w:tbl>
    <w:p>
      <w:pPr>
        <w:pageBreakBefore/>
      </w:pPr>
      <w:r>
        <w:rPr>
          <w:sz w:val="2"/>
          <w:szCs w:val="2"/>
        </w:rPr>
        <w:t xml:space="preserve"/>
      </w:r>
    </w:p>
    <w:p>
      <w:pPr>
        <w:pStyle w:val="Heading1"/>
        <w:spacing w:after="160" w:before="320"/>
      </w:pPr>
      <w:r>
        <w:rPr>
          <w:rFonts w:ascii="Calibri" w:cs="Calibri" w:eastAsia="Calibri" w:hAnsi="Calibri"/>
          <w:b/>
          <w:bCs/>
          <w:color w:val="1F3A5F"/>
          <w:sz w:val="32"/>
          <w:szCs w:val="32"/>
        </w:rPr>
        <w:t xml:space="preserve">1. Executive Summary</w:t>
      </w:r>
    </w:p>
    <w:p>
      <w:pPr>
        <w:spacing w:after="80" w:before="60" w:line="300"/>
      </w:pPr>
      <w:r>
        <w:rPr>
          <w:rFonts w:ascii="Calibri" w:cs="Calibri" w:eastAsia="Calibri" w:hAnsi="Calibri"/>
          <w:color w:val="222222"/>
          <w:sz w:val="22"/>
          <w:szCs w:val="22"/>
        </w:rPr>
        <w:t xml:space="preserve">Vector capability has rapidly become a foundational primitive for AI use cases — required by retrieval-augmented generation, agentic retrieval, semantic search, knowledge graph augmentation, and Fabric-published semantic and vector-derived products. The current state is fragmented: each AI use case is provisioning its own vector store, bringing its own embedding choice, defining its own metadata schema, and applying inconsistent governance. This is operationally unsustainable, financially inefficient, and a material control gap for a regulated bank.</w:t>
      </w:r>
    </w:p>
    <w:p>
      <w:pPr>
        <w:spacing w:after="80" w:before="60" w:line="300"/>
      </w:pPr>
      <w:r>
        <w:rPr>
          <w:rFonts w:ascii="Calibri" w:cs="Calibri" w:eastAsia="Calibri" w:hAnsi="Calibri"/>
          <w:color w:val="222222"/>
          <w:sz w:val="22"/>
          <w:szCs w:val="22"/>
        </w:rPr>
        <w:t xml:space="preserve">This paper proposes Vector DB as a Service (VectorDBaaS) as the recommended target enterprise pattern for delivering vector capability as a managed shared service. Subject to working-group endorsement, the service would be owned by the AI for Tech workstream and consumed by data platforms and AI use cases under common contracts. The recommended shape is hub-and-spoke: a single control plane owned centrally (service registry, embedding-model governance, index lifecycle, classification gate, lineage publication, retrieval quality governance, observability and FinOps) with federated data planes deployed per data platform to honour residency, sovereignty, and platform-local performance constraints.</w:t>
      </w:r>
    </w:p>
    <w:p>
      <w:pPr>
        <w:spacing w:after="80" w:before="60" w:line="300"/>
      </w:pPr>
      <w:r>
        <w:rPr>
          <w:rFonts w:ascii="Calibri" w:cs="Calibri" w:eastAsia="Calibri" w:hAnsi="Calibri"/>
          <w:color w:val="222222"/>
          <w:sz w:val="22"/>
          <w:szCs w:val="22"/>
        </w:rPr>
        <w:t xml:space="preserve">The service supports a dual access model: (a) direct runtime retrieval for low-latency RAG and agentic workloads, and (b) Fabric-published semantic and vector-derived products for governed analytical and BI consumption. Both paths use the same control-plane contracts and the same governance model; the difference is the exposure surface, not underlying data or controls. Fabric publication typically exposes curated semantic products, governed semantic views, or contract-bound vector-derived products — not unmanaged raw vector collections.</w:t>
      </w:r>
    </w:p>
    <w:p>
      <w:pPr>
        <w:spacing w:after="80" w:before="60" w:line="300"/>
      </w:pPr>
      <w:r>
        <w:rPr>
          <w:rFonts w:ascii="Calibri" w:cs="Calibri" w:eastAsia="Calibri" w:hAnsi="Calibri"/>
          <w:color w:val="222222"/>
          <w:sz w:val="22"/>
          <w:szCs w:val="22"/>
        </w:rPr>
        <w:t xml:space="preserve">Ownership and accountability boundaries are explicitly defined. AI for Tech is proposed as accountable for service design, control-plane standards, collection contract governance, and onboarding coordination. Data platform teams remain accountable for operating their local data planes, including platform-local performance, scale, and residency. Group AI remains accountable for approved embedding-model provision and model-level service commitments via MCP. Security, data governance, and risk functions own their respective policy standards, which the service enforces but does not define.</w:t>
      </w:r>
    </w:p>
    <w:p>
      <w:pPr>
        <w:spacing w:after="80" w:before="60" w:line="300"/>
      </w:pPr>
      <w:r>
        <w:rPr>
          <w:rFonts w:ascii="Calibri" w:cs="Calibri" w:eastAsia="Calibri" w:hAnsi="Calibri"/>
          <w:color w:val="222222"/>
          <w:sz w:val="22"/>
          <w:szCs w:val="22"/>
        </w:rPr>
        <w:t xml:space="preserve">The service pattern is informed by reference use case analysis conducted within the wider Unstructured Data workstream — including document-centric graph-plus-vector patterns (Codifying the Bank), audio and transcript retrieval patterns (Voice / Audio), and managed content retrieval patterns (Knowledge Management). These use cases provide the architectural evidence base for the proposed service shape rather than determining the design themselves.</w:t>
      </w:r>
    </w:p>
    <w:p>
      <w:pPr>
        <w:spacing w:after="80" w:before="60" w:line="300"/>
      </w:pPr>
      <w:r>
        <w:rPr>
          <w:rFonts w:ascii="Calibri" w:cs="Calibri" w:eastAsia="Calibri" w:hAnsi="Calibri"/>
          <w:color w:val="222222"/>
          <w:sz w:val="22"/>
          <w:szCs w:val="22"/>
        </w:rPr>
        <w:t xml:space="preserve">Adoption is staged across five phases. No specific timeline is committed at this stage; phase ordering is gated by exit criteria rather than dates, and progression is subject to platform readiness, dependency alignment, working-group endorsement, and funding approval. POCs identified per phase are candidate validation areas, not committed deliveries. Phase 1 stands up the control plane and a single reference data plane; Phase 5 is steady-state operation with chargeback, multi-platform federation, and Fabric publication of semantic and vector-derived products.</w:t>
      </w:r>
    </w:p>
    <w:tbl>
      <w:tblPr>
        <w:tblW w:type="pct" w:w="100%"/>
        <w:tblBorders>
          <w:top w:val="single" w:color="2E6FA0" w:sz="6"/>
          <w:left w:val="single" w:color="2E6FA0" w:sz="6"/>
          <w:bottom w:val="single" w:color="2E6FA0" w:sz="6"/>
          <w:right w:val="single" w:color="2E6FA0" w:sz="6"/>
          <w:insideH w:val="none" w:color="FFFFFF" w:sz="0"/>
          <w:insideV w:val="none" w:color="FFFFFF" w:sz="0"/>
        </w:tblBorders>
      </w:tblPr>
      <w:tblGrid>
        <w:gridCol w:w="100"/>
      </w:tblGrid>
      <w:tr>
        <w:tc>
          <w:tcPr>
            <w:shd w:fill="F6F8FB" w:color="auto" w:val="clear"/>
            <w:tcMar>
              <w:top w:type="dxa" w:w="120"/>
              <w:left w:type="dxa" w:w="200"/>
              <w:bottom w:type="dxa" w:w="120"/>
              <w:right w:type="dxa" w:w="200"/>
            </w:tcMar>
          </w:tcPr>
          <w:p>
            <w:pPr>
              <w:spacing w:after="40"/>
            </w:pPr>
            <w:r>
              <w:rPr>
                <w:rFonts w:ascii="Calibri" w:cs="Calibri" w:eastAsia="Calibri" w:hAnsi="Calibri"/>
                <w:b/>
                <w:bCs/>
                <w:color w:val="1F3A5F"/>
                <w:sz w:val="22"/>
                <w:szCs w:val="22"/>
              </w:rPr>
              <w:t xml:space="preserve">Decision sought from the working group:</w:t>
            </w:r>
          </w:p>
          <w:p>
            <w:pPr>
              <w:spacing w:after="0"/>
            </w:pPr>
            <w:r>
              <w:rPr>
                <w:rFonts w:ascii="Calibri" w:cs="Calibri" w:eastAsia="Calibri" w:hAnsi="Calibri"/>
                <w:color w:val="222222"/>
                <w:sz w:val="22"/>
                <w:szCs w:val="22"/>
              </w:rPr>
              <w:t xml:space="preserve">Endorse VectorDBaaS as the proposed enterprise pattern for vector capability; confirm the recommended hub-and-spoke shape with central control plane and per-platform data planes; agree the dual-access model (direct retrieval and Fabric-published semantic / vector-derived products); confirm the proposed AI for Tech accountability for the control plane and the Group AI accountability for embedding-model provision; confirm the ownership and accountability boundaries set out in the operating model; and endorse the phased adoption roadmap as the basis for funding, resourcing, and dependency conversations — noting that no specific timeline is committed at this stage.</w:t>
            </w:r>
          </w:p>
        </w:tc>
      </w:tr>
    </w:tbl>
    <w:p>
      <w:pPr>
        <w:pStyle w:val="Heading1"/>
        <w:spacing w:after="160" w:before="320"/>
      </w:pPr>
      <w:r>
        <w:rPr>
          <w:rFonts w:ascii="Calibri" w:cs="Calibri" w:eastAsia="Calibri" w:hAnsi="Calibri"/>
          <w:b/>
          <w:bCs/>
          <w:color w:val="1F3A5F"/>
          <w:sz w:val="32"/>
          <w:szCs w:val="32"/>
        </w:rPr>
        <w:t xml:space="preserve">2. Purpose and Scope</w:t>
      </w:r>
    </w:p>
    <w:p>
      <w:pPr>
        <w:pStyle w:val="Heading2"/>
        <w:spacing w:after="120" w:before="240"/>
      </w:pPr>
      <w:r>
        <w:rPr>
          <w:rFonts w:ascii="Calibri" w:cs="Calibri" w:eastAsia="Calibri" w:hAnsi="Calibri"/>
          <w:b/>
          <w:bCs/>
          <w:color w:val="1F3A5F"/>
          <w:sz w:val="26"/>
          <w:szCs w:val="26"/>
        </w:rPr>
        <w:t xml:space="preserve">2.1 Purpose</w:t>
      </w:r>
    </w:p>
    <w:p>
      <w:pPr>
        <w:spacing w:after="80" w:before="60" w:line="300"/>
      </w:pPr>
      <w:r>
        <w:rPr>
          <w:rFonts w:ascii="Calibri" w:cs="Calibri" w:eastAsia="Calibri" w:hAnsi="Calibri"/>
          <w:color w:val="222222"/>
          <w:sz w:val="22"/>
          <w:szCs w:val="22"/>
        </w:rPr>
        <w:t xml:space="preserve">This document sets out the recommended target enterprise pattern for delivering vector database capability as a managed shared service. It defines the recommended architectural shape, capability surface, governance position, operating model, ownership boundaries, and adoption roadmap. Its purpose is fourfold:</w:t>
      </w:r>
    </w:p>
    <w:p>
      <w:pPr>
        <w:pStyle w:val="ListParagraph"/>
        <w:numPr>
          <w:ilvl w:val="0"/>
          <w:numId w:val="2"/>
        </w:numPr>
        <w:spacing w:after="30" w:before="30" w:line="290"/>
      </w:pPr>
      <w:r>
        <w:rPr>
          <w:rFonts w:ascii="Calibri" w:cs="Calibri" w:eastAsia="Calibri" w:hAnsi="Calibri"/>
          <w:sz w:val="22"/>
          <w:szCs w:val="22"/>
        </w:rPr>
        <w:t xml:space="preserve">Standardise vector capability across the bank's AI use cases under a single service contract rather than multiple parallel implementations.</w:t>
      </w:r>
    </w:p>
    <w:p>
      <w:pPr>
        <w:pStyle w:val="ListParagraph"/>
        <w:numPr>
          <w:ilvl w:val="0"/>
          <w:numId w:val="2"/>
        </w:numPr>
        <w:spacing w:after="30" w:before="30" w:line="290"/>
      </w:pPr>
      <w:r>
        <w:rPr>
          <w:rFonts w:ascii="Calibri" w:cs="Calibri" w:eastAsia="Calibri" w:hAnsi="Calibri"/>
          <w:sz w:val="22"/>
          <w:szCs w:val="22"/>
        </w:rPr>
        <w:t xml:space="preserve">Reduce duplication of effort, embedding-model choices, metadata schemas, and operational toil currently absorbed by each use-case team independently.</w:t>
      </w:r>
    </w:p>
    <w:p>
      <w:pPr>
        <w:pStyle w:val="ListParagraph"/>
        <w:numPr>
          <w:ilvl w:val="0"/>
          <w:numId w:val="2"/>
        </w:numPr>
        <w:spacing w:after="30" w:before="30" w:line="290"/>
      </w:pPr>
      <w:r>
        <w:rPr>
          <w:rFonts w:ascii="Calibri" w:cs="Calibri" w:eastAsia="Calibri" w:hAnsi="Calibri"/>
          <w:sz w:val="22"/>
          <w:szCs w:val="22"/>
        </w:rPr>
        <w:t xml:space="preserve">Define the architectural shape and capability surface of the service — control plane, federated data planes, dual access — together with the governance, security, and control alignment expected of an enterprise capability in a regulated bank.</w:t>
      </w:r>
    </w:p>
    <w:p>
      <w:pPr>
        <w:pStyle w:val="ListParagraph"/>
        <w:numPr>
          <w:ilvl w:val="0"/>
          <w:numId w:val="2"/>
        </w:numPr>
        <w:spacing w:after="30" w:before="30" w:line="290"/>
      </w:pPr>
      <w:r>
        <w:rPr>
          <w:rFonts w:ascii="Calibri" w:cs="Calibri" w:eastAsia="Calibri" w:hAnsi="Calibri"/>
          <w:sz w:val="22"/>
          <w:szCs w:val="22"/>
        </w:rPr>
        <w:t xml:space="preserve">Establish the operating model — ownership, accountability, contracts, SLAs, and onboarding lifecycle — needed to make the service safe to consume and predictable to operate.</w:t>
      </w:r>
    </w:p>
    <w:p>
      <w:pPr>
        <w:spacing w:after="80" w:before="60" w:line="300"/>
      </w:pPr>
      <w:r>
        <w:rPr>
          <w:rFonts w:ascii="Calibri" w:cs="Calibri" w:eastAsia="Calibri" w:hAnsi="Calibri"/>
          <w:color w:val="222222"/>
          <w:sz w:val="22"/>
          <w:szCs w:val="22"/>
        </w:rPr>
        <w:t xml:space="preserve">The proposal is intended as a single, defensible reference for working-group review and architecture forum endorsement. It is presented as the recommended target model rather than a settled bank-wide standard; bank-wide adoption follows endorsement and is staged through the indicative roadmap.</w:t>
      </w:r>
    </w:p>
    <w:p>
      <w:pPr>
        <w:pStyle w:val="Heading2"/>
        <w:spacing w:after="120" w:before="240"/>
      </w:pPr>
      <w:r>
        <w:rPr>
          <w:rFonts w:ascii="Calibri" w:cs="Calibri" w:eastAsia="Calibri" w:hAnsi="Calibri"/>
          <w:b/>
          <w:bCs/>
          <w:color w:val="1F3A5F"/>
          <w:sz w:val="26"/>
          <w:szCs w:val="26"/>
        </w:rPr>
        <w:t xml:space="preserve">2.2 In scope</w:t>
      </w:r>
    </w:p>
    <w:p>
      <w:pPr>
        <w:pStyle w:val="ListParagraph"/>
        <w:numPr>
          <w:ilvl w:val="0"/>
          <w:numId w:val="2"/>
        </w:numPr>
        <w:spacing w:after="30" w:before="30" w:line="290"/>
      </w:pPr>
      <w:r>
        <w:rPr>
          <w:rFonts w:ascii="Calibri" w:cs="Calibri" w:eastAsia="Calibri" w:hAnsi="Calibri"/>
          <w:sz w:val="22"/>
          <w:szCs w:val="22"/>
        </w:rPr>
        <w:t xml:space="preserve">The architectural shape of the service (control plane, data planes, access layer, shared services consumed).</w:t>
      </w:r>
    </w:p>
    <w:p>
      <w:pPr>
        <w:pStyle w:val="ListParagraph"/>
        <w:numPr>
          <w:ilvl w:val="0"/>
          <w:numId w:val="2"/>
        </w:numPr>
        <w:spacing w:after="30" w:before="30" w:line="290"/>
      </w:pPr>
      <w:r>
        <w:rPr>
          <w:rFonts w:ascii="Calibri" w:cs="Calibri" w:eastAsia="Calibri" w:hAnsi="Calibri"/>
          <w:sz w:val="22"/>
          <w:szCs w:val="22"/>
        </w:rPr>
        <w:t xml:space="preserve">The capability surface — what VectorDBaaS provides and what it explicitly does not provide, including the distinction between core service capabilities and optional enterprise extensions.</w:t>
      </w:r>
    </w:p>
    <w:p>
      <w:pPr>
        <w:pStyle w:val="ListParagraph"/>
        <w:numPr>
          <w:ilvl w:val="0"/>
          <w:numId w:val="2"/>
        </w:numPr>
        <w:spacing w:after="30" w:before="30" w:line="290"/>
      </w:pPr>
      <w:r>
        <w:rPr>
          <w:rFonts w:ascii="Calibri" w:cs="Calibri" w:eastAsia="Calibri" w:hAnsi="Calibri"/>
          <w:sz w:val="22"/>
          <w:szCs w:val="22"/>
        </w:rPr>
        <w:t xml:space="preserve">The tenancy and deployment model, including residency and platform-local data plane considerations.</w:t>
      </w:r>
    </w:p>
    <w:p>
      <w:pPr>
        <w:pStyle w:val="ListParagraph"/>
        <w:numPr>
          <w:ilvl w:val="0"/>
          <w:numId w:val="2"/>
        </w:numPr>
        <w:spacing w:after="30" w:before="30" w:line="290"/>
      </w:pPr>
      <w:r>
        <w:rPr>
          <w:rFonts w:ascii="Calibri" w:cs="Calibri" w:eastAsia="Calibri" w:hAnsi="Calibri"/>
          <w:sz w:val="22"/>
          <w:szCs w:val="22"/>
        </w:rPr>
        <w:t xml:space="preserve">Embedding-model governance, including approval, registration, versioning, drift, and refresh.</w:t>
      </w:r>
    </w:p>
    <w:p>
      <w:pPr>
        <w:pStyle w:val="ListParagraph"/>
        <w:numPr>
          <w:ilvl w:val="0"/>
          <w:numId w:val="2"/>
        </w:numPr>
        <w:spacing w:after="30" w:before="30" w:line="290"/>
      </w:pPr>
      <w:r>
        <w:rPr>
          <w:rFonts w:ascii="Calibri" w:cs="Calibri" w:eastAsia="Calibri" w:hAnsi="Calibri"/>
          <w:sz w:val="22"/>
          <w:szCs w:val="22"/>
        </w:rPr>
        <w:t xml:space="preserve">Retrieval quality governance, including baselines, relevance monitoring, and tenant acceptance criteria.</w:t>
      </w:r>
    </w:p>
    <w:p>
      <w:pPr>
        <w:pStyle w:val="ListParagraph"/>
        <w:numPr>
          <w:ilvl w:val="0"/>
          <w:numId w:val="2"/>
        </w:numPr>
        <w:spacing w:after="30" w:before="30" w:line="290"/>
      </w:pPr>
      <w:r>
        <w:rPr>
          <w:rFonts w:ascii="Calibri" w:cs="Calibri" w:eastAsia="Calibri" w:hAnsi="Calibri"/>
          <w:sz w:val="22"/>
          <w:szCs w:val="22"/>
        </w:rPr>
        <w:t xml:space="preserve">Governance, security and control alignment with the bank's enterprise control framework.</w:t>
      </w:r>
    </w:p>
    <w:p>
      <w:pPr>
        <w:pStyle w:val="ListParagraph"/>
        <w:numPr>
          <w:ilvl w:val="0"/>
          <w:numId w:val="2"/>
        </w:numPr>
        <w:spacing w:after="30" w:before="30" w:line="290"/>
      </w:pPr>
      <w:r>
        <w:rPr>
          <w:rFonts w:ascii="Calibri" w:cs="Calibri" w:eastAsia="Calibri" w:hAnsi="Calibri"/>
          <w:sz w:val="22"/>
          <w:szCs w:val="22"/>
        </w:rPr>
        <w:t xml:space="preserve">The dual-access model — direct runtime retrieval and Fabric-published semantic and vector-derived products.</w:t>
      </w:r>
    </w:p>
    <w:p>
      <w:pPr>
        <w:pStyle w:val="ListParagraph"/>
        <w:numPr>
          <w:ilvl w:val="0"/>
          <w:numId w:val="2"/>
        </w:numPr>
        <w:spacing w:after="30" w:before="30" w:line="290"/>
      </w:pPr>
      <w:r>
        <w:rPr>
          <w:rFonts w:ascii="Calibri" w:cs="Calibri" w:eastAsia="Calibri" w:hAnsi="Calibri"/>
          <w:sz w:val="22"/>
          <w:szCs w:val="22"/>
        </w:rPr>
        <w:t xml:space="preserve">The operating model — ownership boundaries, RACI, contracts, SLAs, onboarding lifecycle.</w:t>
      </w:r>
    </w:p>
    <w:p>
      <w:pPr>
        <w:pStyle w:val="ListParagraph"/>
        <w:numPr>
          <w:ilvl w:val="0"/>
          <w:numId w:val="2"/>
        </w:numPr>
        <w:spacing w:after="30" w:before="30" w:line="290"/>
      </w:pPr>
      <w:r>
        <w:rPr>
          <w:rFonts w:ascii="Calibri" w:cs="Calibri" w:eastAsia="Calibri" w:hAnsi="Calibri"/>
          <w:sz w:val="22"/>
          <w:szCs w:val="22"/>
        </w:rPr>
        <w:t xml:space="preserve">The indicative phased adoption roadmap, dependencies, risks, and decisions log.</w:t>
      </w:r>
    </w:p>
    <w:p>
      <w:pPr>
        <w:pStyle w:val="Heading2"/>
        <w:spacing w:after="120" w:before="240"/>
      </w:pPr>
      <w:r>
        <w:rPr>
          <w:rFonts w:ascii="Calibri" w:cs="Calibri" w:eastAsia="Calibri" w:hAnsi="Calibri"/>
          <w:b/>
          <w:bCs/>
          <w:color w:val="1F3A5F"/>
          <w:sz w:val="26"/>
          <w:szCs w:val="26"/>
        </w:rPr>
        <w:t xml:space="preserve">2.3 Out of scope</w:t>
      </w:r>
    </w:p>
    <w:p>
      <w:pPr>
        <w:pStyle w:val="ListParagraph"/>
        <w:numPr>
          <w:ilvl w:val="0"/>
          <w:numId w:val="2"/>
        </w:numPr>
        <w:spacing w:after="30" w:before="30" w:line="290"/>
      </w:pPr>
      <w:r>
        <w:rPr>
          <w:rFonts w:ascii="Calibri" w:cs="Calibri" w:eastAsia="Calibri" w:hAnsi="Calibri"/>
          <w:sz w:val="22"/>
          <w:szCs w:val="22"/>
        </w:rPr>
        <w:t xml:space="preserve">Specific engine selection (managed cloud-vector, embedded library, or open-source self-hosted). Engine choice is a downstream implementation decision behind the service contract; this document deliberately keeps engine choice out of the architectural commitment.</w:t>
      </w:r>
    </w:p>
    <w:p>
      <w:pPr>
        <w:pStyle w:val="ListParagraph"/>
        <w:numPr>
          <w:ilvl w:val="0"/>
          <w:numId w:val="2"/>
        </w:numPr>
        <w:spacing w:after="30" w:before="30" w:line="290"/>
      </w:pPr>
      <w:r>
        <w:rPr>
          <w:rFonts w:ascii="Calibri" w:cs="Calibri" w:eastAsia="Calibri" w:hAnsi="Calibri"/>
          <w:sz w:val="22"/>
          <w:szCs w:val="22"/>
        </w:rPr>
        <w:t xml:space="preserve">End-to-end unstructured data reference architecture — covered separately in the Unstructured Data Reference Architecture v2.</w:t>
      </w:r>
    </w:p>
    <w:p>
      <w:pPr>
        <w:pStyle w:val="ListParagraph"/>
        <w:numPr>
          <w:ilvl w:val="0"/>
          <w:numId w:val="2"/>
        </w:numPr>
        <w:spacing w:after="30" w:before="30" w:line="290"/>
      </w:pPr>
      <w:r>
        <w:rPr>
          <w:rFonts w:ascii="Calibri" w:cs="Calibri" w:eastAsia="Calibri" w:hAnsi="Calibri"/>
          <w:sz w:val="22"/>
          <w:szCs w:val="22"/>
        </w:rPr>
        <w:t xml:space="preserve">Use-case-specific RAG orchestration patterns, prompt engineering, or evaluation harnesses — these are tenant responsibilities.</w:t>
      </w:r>
    </w:p>
    <w:p>
      <w:pPr>
        <w:pStyle w:val="ListParagraph"/>
        <w:numPr>
          <w:ilvl w:val="0"/>
          <w:numId w:val="2"/>
        </w:numPr>
        <w:spacing w:after="30" w:before="30" w:line="290"/>
      </w:pPr>
      <w:r>
        <w:rPr>
          <w:rFonts w:ascii="Calibri" w:cs="Calibri" w:eastAsia="Calibri" w:hAnsi="Calibri"/>
          <w:sz w:val="22"/>
          <w:szCs w:val="22"/>
        </w:rPr>
        <w:t xml:space="preserve">Detailed network, compute and storage sizing — handled by data platform teams during data-plane onboarding.</w:t>
      </w:r>
    </w:p>
    <w:p>
      <w:pPr>
        <w:pStyle w:val="Heading2"/>
        <w:spacing w:after="120" w:before="240"/>
      </w:pPr>
      <w:r>
        <w:rPr>
          <w:rFonts w:ascii="Calibri" w:cs="Calibri" w:eastAsia="Calibri" w:hAnsi="Calibri"/>
          <w:b/>
          <w:bCs/>
          <w:color w:val="1F3A5F"/>
          <w:sz w:val="26"/>
          <w:szCs w:val="26"/>
        </w:rPr>
        <w:t xml:space="preserve">2.4 How to read this document</w:t>
      </w:r>
    </w:p>
    <w:p>
      <w:pPr>
        <w:spacing w:after="80" w:before="60" w:line="300"/>
      </w:pPr>
      <w:r>
        <w:rPr>
          <w:rFonts w:ascii="Calibri" w:cs="Calibri" w:eastAsia="Calibri" w:hAnsi="Calibri"/>
          <w:color w:val="222222"/>
          <w:sz w:val="22"/>
          <w:szCs w:val="22"/>
        </w:rPr>
        <w:t xml:space="preserve">Sections 3–5 establish the rationale, use case grounding, and reference-architecture position. Sections 6–10 set out the architectural specification — service shape, capability surface, tenancy, embedding governance, retrieval quality governance, controls, and the dual-access model. Sections 11–14 cover the operating model, contracts, observability, and the indicative roadmap. Sections 15–18 capture risks, dependencies, decisions, and prioritised open questions for the working group. Appendices contain a transparent critique of the initial draft this document supersedes and a glossary.</w:t>
      </w:r>
    </w:p>
    <w:p>
      <w:pPr>
        <w:pStyle w:val="Heading1"/>
        <w:spacing w:after="160" w:before="320"/>
      </w:pPr>
      <w:r>
        <w:rPr>
          <w:rFonts w:ascii="Calibri" w:cs="Calibri" w:eastAsia="Calibri" w:hAnsi="Calibri"/>
          <w:b/>
          <w:bCs/>
          <w:color w:val="1F3A5F"/>
          <w:sz w:val="32"/>
          <w:szCs w:val="32"/>
        </w:rPr>
        <w:t xml:space="preserve">3. Why a Service — Problem Statement</w:t>
      </w:r>
    </w:p>
    <w:p>
      <w:pPr>
        <w:spacing w:after="80" w:before="60" w:line="300"/>
      </w:pPr>
      <w:r>
        <w:rPr>
          <w:rFonts w:ascii="Calibri" w:cs="Calibri" w:eastAsia="Calibri" w:hAnsi="Calibri"/>
          <w:color w:val="222222"/>
          <w:sz w:val="22"/>
          <w:szCs w:val="22"/>
        </w:rPr>
        <w:t xml:space="preserve">The bank already runs multiple AI use cases that require vector capability: retrieval-augmented assistants, voice/audio analytics, knowledge management services, and semantic search products. Without an enterprise pattern, each delivery has built or is in the process of building its own vector store with materially different choices.</w:t>
      </w:r>
    </w:p>
    <w:p>
      <w:pPr>
        <w:pStyle w:val="Heading3"/>
        <w:spacing w:after="80" w:before="180"/>
      </w:pPr>
      <w:r>
        <w:rPr>
          <w:rFonts w:ascii="Calibri" w:cs="Calibri" w:eastAsia="Calibri" w:hAnsi="Calibri"/>
          <w:b/>
          <w:bCs/>
          <w:color w:val="2E6FA0"/>
          <w:sz w:val="23"/>
          <w:szCs w:val="23"/>
        </w:rPr>
        <w:t xml:space="preserve">3.1 Symptoms of the current state</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tblGrid>
      <w:tr>
        <w:trPr>
          <w:tblHeader/>
        </w:trPr>
        <w:tc>
          <w:tcPr>
            <w:tcW w:type="dxa" w:w="3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Symptom</w:t>
            </w:r>
          </w:p>
        </w:tc>
        <w:tc>
          <w:tcPr>
            <w:tcW w:type="dxa" w:w="64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Consequence</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Multiple vector engines in flight (managed, embedded, OSS)</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Skill fragmentation, duplicated tooling, no consolidated cost view, no consistent SLAs.</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Inconsistent embedding-model choice</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Non-comparable retrieval quality across use cases; no governance over model drift or version refresh; risk of unapproved or out-of-policy models in production.</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Bring-your-own metadata</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Lineage and provenance hand-rolled per use case; weak retrieval-time entitlement; no consistent classification or DLP gating.</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No tenancy model</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Collections collide; no residency story; cross-LOB data leakage risk under the same engine.</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No catalogue or Fabric exposure</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Vector-derived products are invisible to the wider data community; analytical and BI consumers cannot reuse what AI teams have already produced.</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No FinOps</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 cost, storage cost, and query cost are not measured against a service unit or unit economics; no chargeback path.</w:t>
            </w:r>
          </w:p>
        </w:tc>
      </w:tr>
    </w:tbl>
    <w:p>
      <w:pPr>
        <w:pStyle w:val="Heading3"/>
        <w:spacing w:after="80" w:before="180"/>
      </w:pPr>
      <w:r>
        <w:rPr>
          <w:rFonts w:ascii="Calibri" w:cs="Calibri" w:eastAsia="Calibri" w:hAnsi="Calibri"/>
          <w:b/>
          <w:bCs/>
          <w:color w:val="2E6FA0"/>
          <w:sz w:val="23"/>
          <w:szCs w:val="23"/>
        </w:rPr>
        <w:t xml:space="preserve">3.2 What a service-led approach delivers</w:t>
      </w:r>
    </w:p>
    <w:p>
      <w:pPr>
        <w:pStyle w:val="ListParagraph"/>
        <w:numPr>
          <w:ilvl w:val="0"/>
          <w:numId w:val="2"/>
        </w:numPr>
        <w:spacing w:after="30" w:before="30" w:line="290"/>
      </w:pPr>
      <w:r>
        <w:rPr>
          <w:rFonts w:ascii="Calibri" w:cs="Calibri" w:eastAsia="Calibri" w:hAnsi="Calibri"/>
          <w:sz w:val="22"/>
          <w:szCs w:val="22"/>
        </w:rPr>
        <w:t xml:space="preserve">One reusable capability rather than N parallel implementations — engine choice abstracted behind the service contract.</w:t>
      </w:r>
    </w:p>
    <w:p>
      <w:pPr>
        <w:pStyle w:val="ListParagraph"/>
        <w:numPr>
          <w:ilvl w:val="0"/>
          <w:numId w:val="2"/>
        </w:numPr>
        <w:spacing w:after="30" w:before="30" w:line="290"/>
      </w:pPr>
      <w:r>
        <w:rPr>
          <w:rFonts w:ascii="Calibri" w:cs="Calibri" w:eastAsia="Calibri" w:hAnsi="Calibri"/>
          <w:sz w:val="22"/>
          <w:szCs w:val="22"/>
        </w:rPr>
        <w:t xml:space="preserve">Governance and control alignment by default — classification, provenance, retrieval-time entitlement, lineage publication.</w:t>
      </w:r>
    </w:p>
    <w:p>
      <w:pPr>
        <w:pStyle w:val="ListParagraph"/>
        <w:numPr>
          <w:ilvl w:val="0"/>
          <w:numId w:val="2"/>
        </w:numPr>
        <w:spacing w:after="30" w:before="30" w:line="290"/>
      </w:pPr>
      <w:r>
        <w:rPr>
          <w:rFonts w:ascii="Calibri" w:cs="Calibri" w:eastAsia="Calibri" w:hAnsi="Calibri"/>
          <w:sz w:val="22"/>
          <w:szCs w:val="22"/>
        </w:rPr>
        <w:t xml:space="preserve">Coherent embedding governance — approved models, versioning, deprecation, drift management, refresh.</w:t>
      </w:r>
    </w:p>
    <w:p>
      <w:pPr>
        <w:pStyle w:val="ListParagraph"/>
        <w:numPr>
          <w:ilvl w:val="0"/>
          <w:numId w:val="2"/>
        </w:numPr>
        <w:spacing w:after="30" w:before="30" w:line="290"/>
      </w:pPr>
      <w:r>
        <w:rPr>
          <w:rFonts w:ascii="Calibri" w:cs="Calibri" w:eastAsia="Calibri" w:hAnsi="Calibri"/>
          <w:sz w:val="22"/>
          <w:szCs w:val="22"/>
        </w:rPr>
        <w:t xml:space="preserve">Multi-tenant deployment with residency, sovereignty, and platform-local performance honoured by data planes.</w:t>
      </w:r>
    </w:p>
    <w:p>
      <w:pPr>
        <w:pStyle w:val="ListParagraph"/>
        <w:numPr>
          <w:ilvl w:val="0"/>
          <w:numId w:val="2"/>
        </w:numPr>
        <w:spacing w:after="30" w:before="30" w:line="290"/>
      </w:pPr>
      <w:r>
        <w:rPr>
          <w:rFonts w:ascii="Calibri" w:cs="Calibri" w:eastAsia="Calibri" w:hAnsi="Calibri"/>
          <w:sz w:val="22"/>
          <w:szCs w:val="22"/>
        </w:rPr>
        <w:t xml:space="preserve">A unified cost model — usage measured per collection, per query, per embedding, with chargeback to consuming use cases.</w:t>
      </w:r>
    </w:p>
    <w:p>
      <w:pPr>
        <w:pStyle w:val="ListParagraph"/>
        <w:numPr>
          <w:ilvl w:val="0"/>
          <w:numId w:val="2"/>
        </w:numPr>
        <w:spacing w:after="30" w:before="30" w:line="290"/>
      </w:pPr>
      <w:r>
        <w:rPr>
          <w:rFonts w:ascii="Calibri" w:cs="Calibri" w:eastAsia="Calibri" w:hAnsi="Calibri"/>
          <w:sz w:val="22"/>
          <w:szCs w:val="22"/>
        </w:rPr>
        <w:t xml:space="preserve">Direct-retrieval and Fabric-published consumption from the same service, governed under one set of controls.</w:t>
      </w:r>
    </w:p>
    <w:p>
      <w:pPr>
        <w:pStyle w:val="ListParagraph"/>
        <w:numPr>
          <w:ilvl w:val="0"/>
          <w:numId w:val="2"/>
        </w:numPr>
        <w:spacing w:after="30" w:before="30" w:line="290"/>
      </w:pPr>
      <w:r>
        <w:rPr>
          <w:rFonts w:ascii="Calibri" w:cs="Calibri" w:eastAsia="Calibri" w:hAnsi="Calibri"/>
          <w:sz w:val="22"/>
          <w:szCs w:val="22"/>
        </w:rPr>
        <w:t xml:space="preserve">Retrieval quality governance — common baselines, relevance monitoring, and tenant-owned acceptance criteria so that the service delivers business value, not only architectural compliance.</w:t>
      </w:r>
    </w:p>
    <w:p>
      <w:pPr>
        <w:pStyle w:val="Heading3"/>
        <w:spacing w:after="80" w:before="180"/>
      </w:pPr>
      <w:r>
        <w:rPr>
          <w:rFonts w:ascii="Calibri" w:cs="Calibri" w:eastAsia="Calibri" w:hAnsi="Calibri"/>
          <w:b/>
          <w:bCs/>
          <w:color w:val="2E6FA0"/>
          <w:sz w:val="23"/>
          <w:szCs w:val="23"/>
        </w:rPr>
        <w:t xml:space="preserve">3.3 Use-case grounding (architecture-led)</w:t>
      </w:r>
    </w:p>
    <w:p>
      <w:pPr>
        <w:spacing w:after="80" w:before="60" w:line="300"/>
      </w:pPr>
      <w:r>
        <w:rPr>
          <w:rFonts w:ascii="Calibri" w:cs="Calibri" w:eastAsia="Calibri" w:hAnsi="Calibri"/>
          <w:color w:val="222222"/>
          <w:sz w:val="22"/>
          <w:szCs w:val="22"/>
        </w:rPr>
        <w:t xml:space="preserve">The proposed service pattern is informed by reference use-case analysis conducted within the wider Unstructured Data workstream. The patterns below are summarised at the level of architectural primitives and service implications, not as use-case narratives.</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gridCol w:w="100"/>
      </w:tblGrid>
      <w:tr>
        <w:trPr>
          <w:tblHeader/>
        </w:trPr>
        <w:tc>
          <w:tcPr>
            <w:tcW w:type="dxa" w:w="24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Reference use case</w:t>
            </w:r>
          </w:p>
        </w:tc>
        <w:tc>
          <w:tcPr>
            <w:tcW w:type="dxa" w:w="35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Architectural primitives observed</w:t>
            </w:r>
          </w:p>
        </w:tc>
        <w:tc>
          <w:tcPr>
            <w:tcW w:type="dxa" w:w="35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Service implication</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Codifying the Bank</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Document-centric corpus; graph-plus-vector retrieval; MCP-governed tool use; multi-collection lifecycle.</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Requires governed collection lifecycle, embedding consistency across corpora, hybrid retrieval composition, and Fabric publication of derived knowledge products.</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Voice / Audio</w:t>
            </w:r>
          </w:p>
        </w:tc>
        <w:tc>
          <w:tcPr>
            <w:tcW w:type="dxa" w:w="3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Modality-specific preparation; sensitive-content classification; residency-aware deployment.</w:t>
            </w:r>
          </w:p>
        </w:tc>
        <w:tc>
          <w:tcPr>
            <w:tcW w:type="dxa" w:w="3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Requires modality-aware embedding handling, strict classification gating, and per-region data plane assignment.</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Knowledge Management / Managed Content</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Curated content retrieval; tenant-scoped collections; content safety; cache and session behaviour.</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Requires tenant-scoped collections, retrieval-time entitlement, cache and session store, and Fabric publication for wider consumption.</w:t>
            </w:r>
          </w:p>
        </w:tc>
      </w:tr>
    </w:tbl>
    <w:p>
      <w:pPr>
        <w:spacing w:after="80" w:before="60" w:line="300"/>
      </w:pPr>
      <w:r>
        <w:rPr>
          <w:rFonts w:ascii="Calibri" w:cs="Calibri" w:eastAsia="Calibri" w:hAnsi="Calibri"/>
          <w:color w:val="222222"/>
          <w:sz w:val="22"/>
          <w:szCs w:val="22"/>
        </w:rPr>
        <w:t xml:space="preserve">These use cases are not the service. They are the architectural evidence base that justifies the hub-and-spoke, dual-access, embedding-governed shape proposed below.</w:t>
      </w:r>
    </w:p>
    <w:p>
      <w:pPr>
        <w:pStyle w:val="Heading1"/>
        <w:spacing w:after="160" w:before="320"/>
      </w:pPr>
      <w:r>
        <w:rPr>
          <w:rFonts w:ascii="Calibri" w:cs="Calibri" w:eastAsia="Calibri" w:hAnsi="Calibri"/>
          <w:b/>
          <w:bCs/>
          <w:color w:val="1F3A5F"/>
          <w:sz w:val="32"/>
          <w:szCs w:val="32"/>
        </w:rPr>
        <w:t xml:space="preserve">4. Reference Architecture Alignment</w:t>
      </w:r>
    </w:p>
    <w:p>
      <w:pPr>
        <w:spacing w:after="80" w:before="60" w:line="300"/>
      </w:pPr>
      <w:r>
        <w:rPr>
          <w:rFonts w:ascii="Calibri" w:cs="Calibri" w:eastAsia="Calibri" w:hAnsi="Calibri"/>
          <w:color w:val="222222"/>
          <w:sz w:val="22"/>
          <w:szCs w:val="22"/>
        </w:rPr>
        <w:t xml:space="preserve">VectorDBaaS does not introduce a new architectural concept — it productises the persistence and retrieval primitives already specified in the Unstructured Data Reference Architecture (A1, v2). Under the proposed pattern, the service consumes upstream layers (Ingestion, Preparation, Orchestration &amp; Semantic Processing) and feeds downstream layers (Fabric / Data Product Access Layer, Retrieval &amp; Consumption) for the vector portion of those flows.</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gridCol w:w="100"/>
      </w:tblGrid>
      <w:tr>
        <w:trPr>
          <w:tblHeader/>
        </w:trPr>
        <w:tc>
          <w:tcPr>
            <w:tcW w:type="dxa" w:w="3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A1 Reference Architecture Layer</w:t>
            </w:r>
          </w:p>
        </w:tc>
        <w:tc>
          <w:tcPr>
            <w:tcW w:type="dxa" w:w="3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Relationship to VectorDBaaS</w:t>
            </w:r>
          </w:p>
        </w:tc>
        <w:tc>
          <w:tcPr>
            <w:tcW w:type="dxa" w:w="34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Notes (under the proposed pattern)</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L1 Source Domains</w:t>
            </w:r>
          </w:p>
        </w:tc>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Upstream</w:t>
            </w:r>
          </w:p>
        </w:tc>
        <w:tc>
          <w:tcPr>
            <w:tcW w:type="dxa" w:w="3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Sources of unstructured content; not directly consumed by the vector service.</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L2 Ingestion &amp; Onboarding</w:t>
            </w:r>
          </w:p>
        </w:tc>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Upstream</w:t>
            </w:r>
          </w:p>
        </w:tc>
        <w:tc>
          <w:tcPr>
            <w:tcW w:type="dxa" w:w="3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Produces normalised, classified content units that become inputs for embedding.</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L3 Preparation &amp; Normalisation</w:t>
            </w:r>
          </w:p>
        </w:tc>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Upstream</w:t>
            </w:r>
          </w:p>
        </w:tc>
        <w:tc>
          <w:tcPr>
            <w:tcW w:type="dxa" w:w="3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Chunking, cleansing, redaction performed before embedding.</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L4 Orchestration &amp; Semantic Processing</w:t>
            </w:r>
          </w:p>
        </w:tc>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Upstream / consumer</w:t>
            </w:r>
          </w:p>
        </w:tc>
        <w:tc>
          <w:tcPr>
            <w:tcW w:type="dxa" w:w="3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Calls the service's ingestion API to upsert vectors; calls the retrieval API at runtime for the vector portion of hybrid flows.</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L5 Governed AI Integration</w:t>
            </w:r>
          </w:p>
        </w:tc>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Peer / dependency</w:t>
            </w:r>
          </w:p>
        </w:tc>
        <w:tc>
          <w:tcPr>
            <w:tcW w:type="dxa" w:w="3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Group AI provides the embedding models consumed via MCP; VectorDBaaS does not host models itself.</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L6 Persistence Services</w:t>
            </w:r>
          </w:p>
        </w:tc>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VectorDBaaS would sit here</w:t>
            </w:r>
          </w:p>
        </w:tc>
        <w:tc>
          <w:tcPr>
            <w:tcW w:type="dxa" w:w="3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Proposed as the standard productisation of vector persistence under the pattern.</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L7 Fabric / Data Product Access Layer</w:t>
            </w:r>
          </w:p>
        </w:tc>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Downstream</w:t>
            </w:r>
          </w:p>
        </w:tc>
        <w:tc>
          <w:tcPr>
            <w:tcW w:type="dxa" w:w="3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Curated semantic and vector-derived products would be published as governed data products for federated consumption.</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L8 Retrieval &amp; Consumption</w:t>
            </w:r>
          </w:p>
        </w:tc>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Downstream</w:t>
            </w:r>
          </w:p>
        </w:tc>
        <w:tc>
          <w:tcPr>
            <w:tcW w:type="dxa" w:w="3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Under the proposed pattern, vector-based runtime retrieval consumers (RAG, agents) call the service's retrieval API directly. Hybrid retrieval flows compose vector with keyword, structured, or graph services at the orchestration layer.</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L9 Cross-Cutting Controls</w:t>
            </w:r>
          </w:p>
        </w:tc>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Pervasive</w:t>
            </w:r>
          </w:p>
        </w:tc>
        <w:tc>
          <w:tcPr>
            <w:tcW w:type="dxa" w:w="3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Identity, policy, lineage, audit, encryption, residency apply to every interaction with the service.</w:t>
            </w:r>
          </w:p>
        </w:tc>
      </w:tr>
    </w:tbl>
    <w:p>
      <w:pPr>
        <w:spacing w:after="80" w:before="60" w:line="300"/>
      </w:pPr>
      <w:r>
        <w:rPr>
          <w:rFonts w:ascii="Calibri" w:cs="Calibri" w:eastAsia="Calibri" w:hAnsi="Calibri"/>
          <w:color w:val="222222"/>
          <w:sz w:val="22"/>
          <w:szCs w:val="22"/>
        </w:rPr>
        <w:t xml:space="preserve">Under the proposed pattern, VectorDBaaS is the L6 productisation that L7 Fabric publication and L8 vector-based retrieval consumers would depend on for vector capability. Vector-based retrieval flows that adopt the service terminate against a VectorDBaaS data plane; use cases not yet migrated continue under their current patterns until onboarded. Hybrid retrieval — combining vector with keyword, structured, or knowledge-graph lookups — engages peer services for the non-vector portions; the service governs and standardises the vector portion only.</w:t>
      </w:r>
    </w:p>
    <w:p>
      <w:pPr>
        <w:pStyle w:val="Heading1"/>
        <w:spacing w:after="160" w:before="320"/>
      </w:pPr>
      <w:r>
        <w:rPr>
          <w:rFonts w:ascii="Calibri" w:cs="Calibri" w:eastAsia="Calibri" w:hAnsi="Calibri"/>
          <w:b/>
          <w:bCs/>
          <w:color w:val="1F3A5F"/>
          <w:sz w:val="32"/>
          <w:szCs w:val="32"/>
        </w:rPr>
        <w:t xml:space="preserve">5. Service Architecture</w:t>
      </w:r>
    </w:p>
    <w:p>
      <w:pPr>
        <w:spacing w:after="80" w:before="60" w:line="300"/>
      </w:pPr>
      <w:r>
        <w:rPr>
          <w:rFonts w:ascii="Calibri" w:cs="Calibri" w:eastAsia="Calibri" w:hAnsi="Calibri"/>
          <w:color w:val="222222"/>
          <w:sz w:val="22"/>
          <w:szCs w:val="22"/>
        </w:rPr>
        <w:t xml:space="preserve">The recommended target shape is hub-and-spoke: a single control plane owned by AI for Tech (the hub), and federated data planes deployed within each data platform (the spokes). Consumers reach the service via an access layer that provides two equally-governed exposure surfaces: direct runtime retrieval and Fabric-published semantic and vector-derived products.</w:t>
      </w:r>
    </w:p>
    <w:p>
      <w:pPr>
        <w:pStyle w:val="Heading2"/>
        <w:spacing w:after="120" w:before="240"/>
      </w:pPr>
      <w:r>
        <w:rPr>
          <w:rFonts w:ascii="Calibri" w:cs="Calibri" w:eastAsia="Calibri" w:hAnsi="Calibri"/>
          <w:b/>
          <w:bCs/>
          <w:color w:val="1F3A5F"/>
          <w:sz w:val="26"/>
          <w:szCs w:val="26"/>
        </w:rPr>
        <w:t xml:space="preserve">5.1 Architecture diagram</w:t>
      </w:r>
    </w:p>
    <w:p>
      <w:pPr>
        <w:spacing w:after="80" w:before="200"/>
        <w:jc w:val="center"/>
      </w:pPr>
      <w:r>
        <w:drawing>
          <wp:inline distT="0" distB="0" distL="0" distR="0">
            <wp:extent cx="5905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05300"/>
                    </a:xfrm>
                    <a:prstGeom prst="rect">
                      <a:avLst/>
                    </a:prstGeom>
                  </pic:spPr>
                </pic:pic>
              </a:graphicData>
            </a:graphic>
          </wp:inline>
        </w:drawing>
      </w:r>
    </w:p>
    <w:p>
      <w:pPr>
        <w:spacing w:after="200" w:before="0"/>
        <w:jc w:val="center"/>
      </w:pPr>
      <w:r>
        <w:rPr>
          <w:rFonts w:ascii="Calibri" w:cs="Calibri" w:eastAsia="Calibri" w:hAnsi="Calibri"/>
          <w:i/>
          <w:iCs/>
          <w:color w:val="5B6878"/>
          <w:sz w:val="19"/>
          <w:szCs w:val="19"/>
        </w:rPr>
        <w:t xml:space="preserve">Figure 1. VectorDBaaS — proposed hub-and-spoke service shape with dual access model and federated data planes.</w:t>
      </w:r>
    </w:p>
    <w:p>
      <w:pPr>
        <w:pStyle w:val="Heading2"/>
        <w:spacing w:after="120" w:before="240"/>
      </w:pPr>
      <w:r>
        <w:rPr>
          <w:rFonts w:ascii="Calibri" w:cs="Calibri" w:eastAsia="Calibri" w:hAnsi="Calibri"/>
          <w:b/>
          <w:bCs/>
          <w:color w:val="1F3A5F"/>
          <w:sz w:val="26"/>
          <w:szCs w:val="26"/>
        </w:rPr>
        <w:t xml:space="preserve">5.2 Logical components</w:t>
      </w:r>
    </w:p>
    <w:p>
      <w:pPr>
        <w:pStyle w:val="Heading3"/>
        <w:spacing w:after="80" w:before="180"/>
      </w:pPr>
      <w:r>
        <w:rPr>
          <w:rFonts w:ascii="Calibri" w:cs="Calibri" w:eastAsia="Calibri" w:hAnsi="Calibri"/>
          <w:b/>
          <w:bCs/>
          <w:color w:val="2E6FA0"/>
          <w:sz w:val="23"/>
          <w:szCs w:val="23"/>
        </w:rPr>
        <w:t xml:space="preserve">Consumers</w:t>
      </w:r>
    </w:p>
    <w:p>
      <w:pPr>
        <w:pStyle w:val="ListParagraph"/>
        <w:numPr>
          <w:ilvl w:val="0"/>
          <w:numId w:val="2"/>
        </w:numPr>
        <w:spacing w:after="30" w:before="30" w:line="290"/>
      </w:pPr>
      <w:r>
        <w:rPr>
          <w:rFonts w:ascii="Calibri" w:cs="Calibri" w:eastAsia="Calibri" w:hAnsi="Calibri"/>
          <w:sz w:val="22"/>
          <w:szCs w:val="22"/>
        </w:rPr>
        <w:t xml:space="preserve">RAG / copilot applications — conversational and assistant experiences calling retrieval at request time.</w:t>
      </w:r>
    </w:p>
    <w:p>
      <w:pPr>
        <w:pStyle w:val="ListParagraph"/>
        <w:numPr>
          <w:ilvl w:val="0"/>
          <w:numId w:val="2"/>
        </w:numPr>
        <w:spacing w:after="30" w:before="30" w:line="290"/>
      </w:pPr>
      <w:r>
        <w:rPr>
          <w:rFonts w:ascii="Calibri" w:cs="Calibri" w:eastAsia="Calibri" w:hAnsi="Calibri"/>
          <w:sz w:val="22"/>
          <w:szCs w:val="22"/>
        </w:rPr>
        <w:t xml:space="preserve">Agentic workflows — stateful agents that issue retrieval calls during multi-step tool use.</w:t>
      </w:r>
    </w:p>
    <w:p>
      <w:pPr>
        <w:pStyle w:val="ListParagraph"/>
        <w:numPr>
          <w:ilvl w:val="0"/>
          <w:numId w:val="2"/>
        </w:numPr>
        <w:spacing w:after="30" w:before="30" w:line="290"/>
      </w:pPr>
      <w:r>
        <w:rPr>
          <w:rFonts w:ascii="Calibri" w:cs="Calibri" w:eastAsia="Calibri" w:hAnsi="Calibri"/>
          <w:sz w:val="22"/>
          <w:szCs w:val="22"/>
        </w:rPr>
        <w:t xml:space="preserve">Retrieval orchestration services — composing hybrid (vector + keyword + structured filter) retrieval over multiple collections.</w:t>
      </w:r>
    </w:p>
    <w:p>
      <w:pPr>
        <w:pStyle w:val="ListParagraph"/>
        <w:numPr>
          <w:ilvl w:val="0"/>
          <w:numId w:val="2"/>
        </w:numPr>
        <w:spacing w:after="30" w:before="30" w:line="290"/>
      </w:pPr>
      <w:r>
        <w:rPr>
          <w:rFonts w:ascii="Calibri" w:cs="Calibri" w:eastAsia="Calibri" w:hAnsi="Calibri"/>
          <w:sz w:val="22"/>
          <w:szCs w:val="22"/>
        </w:rPr>
        <w:t xml:space="preserve">BI / data product consumers — BI, analytical workloads, and applications consuming Fabric-published semantic or vector-derived products.</w:t>
      </w:r>
    </w:p>
    <w:p>
      <w:pPr>
        <w:pStyle w:val="Heading3"/>
        <w:spacing w:after="80" w:before="180"/>
      </w:pPr>
      <w:r>
        <w:rPr>
          <w:rFonts w:ascii="Calibri" w:cs="Calibri" w:eastAsia="Calibri" w:hAnsi="Calibri"/>
          <w:b/>
          <w:bCs/>
          <w:color w:val="2E6FA0"/>
          <w:sz w:val="23"/>
          <w:szCs w:val="23"/>
        </w:rPr>
        <w:t xml:space="preserve">Access layer — dual access</w:t>
      </w:r>
    </w:p>
    <w:p>
      <w:pPr>
        <w:pStyle w:val="ListParagraph"/>
        <w:numPr>
          <w:ilvl w:val="0"/>
          <w:numId w:val="2"/>
        </w:numPr>
        <w:spacing w:after="30" w:before="30" w:line="290"/>
      </w:pPr>
      <w:r>
        <w:rPr>
          <w:rFonts w:ascii="Calibri" w:cs="Calibri" w:eastAsia="Calibri" w:hAnsi="Calibri"/>
          <w:sz w:val="22"/>
          <w:szCs w:val="22"/>
        </w:rPr>
        <w:t xml:space="preserve">Direct runtime retrieval — low-latency synchronous retrieval API governed at request time (entitlement, classification, provenance).</w:t>
      </w:r>
    </w:p>
    <w:p>
      <w:pPr>
        <w:pStyle w:val="ListParagraph"/>
        <w:numPr>
          <w:ilvl w:val="0"/>
          <w:numId w:val="2"/>
        </w:numPr>
        <w:spacing w:after="30" w:before="30" w:line="290"/>
      </w:pPr>
      <w:r>
        <w:rPr>
          <w:rFonts w:ascii="Calibri" w:cs="Calibri" w:eastAsia="Calibri" w:hAnsi="Calibri"/>
          <w:sz w:val="22"/>
          <w:szCs w:val="22"/>
        </w:rPr>
        <w:t xml:space="preserve">Fabric-published semantic and vector-derived products — curated collections exposed through the data product access layer with contract, schema, and federation; consumed under the data product access layer's governance. Fabric publication typically exposes curated semantic products, governed semantic views, or contract-bound vector-derived products — not unmanaged raw vector collections.</w:t>
      </w:r>
    </w:p>
    <w:p>
      <w:pPr>
        <w:spacing w:after="80" w:before="60" w:line="300"/>
      </w:pPr>
      <w:r>
        <w:rPr>
          <w:rFonts w:ascii="Calibri" w:cs="Calibri" w:eastAsia="Calibri" w:hAnsi="Calibri"/>
          <w:color w:val="222222"/>
          <w:sz w:val="22"/>
          <w:szCs w:val="22"/>
        </w:rPr>
        <w:t xml:space="preserve">In both cases — semantic products and semantic views — what flows through Fabric is the contract-bound product, not the underlying vector collection. The collection itself remains governed under the data plane.</w:t>
      </w:r>
    </w:p>
    <w:p>
      <w:pPr>
        <w:pStyle w:val="Heading3"/>
        <w:spacing w:after="80" w:before="180"/>
      </w:pPr>
      <w:r>
        <w:rPr>
          <w:rFonts w:ascii="Calibri" w:cs="Calibri" w:eastAsia="Calibri" w:hAnsi="Calibri"/>
          <w:b/>
          <w:bCs/>
          <w:color w:val="2E6FA0"/>
          <w:sz w:val="23"/>
          <w:szCs w:val="23"/>
        </w:rPr>
        <w:t xml:space="preserve">Control plane (hub) — owned centrally by AI for Tech</w:t>
      </w:r>
    </w:p>
    <w:p>
      <w:pPr>
        <w:pStyle w:val="ListParagraph"/>
        <w:numPr>
          <w:ilvl w:val="0"/>
          <w:numId w:val="2"/>
        </w:numPr>
        <w:spacing w:after="30" w:before="30" w:line="290"/>
      </w:pPr>
      <w:r>
        <w:rPr>
          <w:rFonts w:ascii="Calibri" w:cs="Calibri" w:eastAsia="Calibri" w:hAnsi="Calibri"/>
          <w:sz w:val="22"/>
          <w:szCs w:val="22"/>
        </w:rPr>
        <w:t xml:space="preserve">Service Registry &amp; Contracts — canonical record of every collection: owner, purpose, schema, classification ceiling, SLA, retention.</w:t>
      </w:r>
    </w:p>
    <w:p>
      <w:pPr>
        <w:pStyle w:val="ListParagraph"/>
        <w:numPr>
          <w:ilvl w:val="0"/>
          <w:numId w:val="2"/>
        </w:numPr>
        <w:spacing w:after="30" w:before="30" w:line="290"/>
      </w:pPr>
      <w:r>
        <w:rPr>
          <w:rFonts w:ascii="Calibri" w:cs="Calibri" w:eastAsia="Calibri" w:hAnsi="Calibri"/>
          <w:sz w:val="22"/>
          <w:szCs w:val="22"/>
        </w:rPr>
        <w:t xml:space="preserve">Embedding Model Registry &amp; Governance — approved models, versioning, drift surveillance, deprecation policy, refresh orchestration.</w:t>
      </w:r>
    </w:p>
    <w:p>
      <w:pPr>
        <w:pStyle w:val="ListParagraph"/>
        <w:numPr>
          <w:ilvl w:val="0"/>
          <w:numId w:val="2"/>
        </w:numPr>
        <w:spacing w:after="30" w:before="30" w:line="290"/>
      </w:pPr>
      <w:r>
        <w:rPr>
          <w:rFonts w:ascii="Calibri" w:cs="Calibri" w:eastAsia="Calibri" w:hAnsi="Calibri"/>
          <w:sz w:val="22"/>
          <w:szCs w:val="22"/>
        </w:rPr>
        <w:t xml:space="preserve">Index Lifecycle Service — orchestrates provisioning, refresh, reindex, and retire across data planes from one place.</w:t>
      </w:r>
    </w:p>
    <w:p>
      <w:pPr>
        <w:pStyle w:val="ListParagraph"/>
        <w:numPr>
          <w:ilvl w:val="0"/>
          <w:numId w:val="2"/>
        </w:numPr>
        <w:spacing w:after="30" w:before="30" w:line="290"/>
      </w:pPr>
      <w:r>
        <w:rPr>
          <w:rFonts w:ascii="Calibri" w:cs="Calibri" w:eastAsia="Calibri" w:hAnsi="Calibri"/>
          <w:sz w:val="22"/>
          <w:szCs w:val="22"/>
        </w:rPr>
        <w:t xml:space="preserve">Classification &amp; DLP Gate — enforces pre-vector classification and provenance binding; rejects content that does not carry the required metadata.</w:t>
      </w:r>
    </w:p>
    <w:p>
      <w:pPr>
        <w:pStyle w:val="ListParagraph"/>
        <w:numPr>
          <w:ilvl w:val="0"/>
          <w:numId w:val="2"/>
        </w:numPr>
        <w:spacing w:after="30" w:before="30" w:line="290"/>
      </w:pPr>
      <w:r>
        <w:rPr>
          <w:rFonts w:ascii="Calibri" w:cs="Calibri" w:eastAsia="Calibri" w:hAnsi="Calibri"/>
          <w:sz w:val="22"/>
          <w:szCs w:val="22"/>
        </w:rPr>
        <w:t xml:space="preserve">Lineage &amp; Metadata Publisher — emits lineage events to the enterprise catalogue; publishes semantic and vector-derived products to Fabric when applicable.</w:t>
      </w:r>
    </w:p>
    <w:p>
      <w:pPr>
        <w:pStyle w:val="ListParagraph"/>
        <w:numPr>
          <w:ilvl w:val="0"/>
          <w:numId w:val="2"/>
        </w:numPr>
        <w:spacing w:after="30" w:before="30" w:line="290"/>
      </w:pPr>
      <w:r>
        <w:rPr>
          <w:rFonts w:ascii="Calibri" w:cs="Calibri" w:eastAsia="Calibri" w:hAnsi="Calibri"/>
          <w:sz w:val="22"/>
          <w:szCs w:val="22"/>
        </w:rPr>
        <w:t xml:space="preserve">Retrieval Quality Governance — retrieval quality baselines, relevance monitoring, benchmark evaluation, drift detection, and escalation.</w:t>
      </w:r>
    </w:p>
    <w:p>
      <w:pPr>
        <w:pStyle w:val="ListParagraph"/>
        <w:numPr>
          <w:ilvl w:val="0"/>
          <w:numId w:val="2"/>
        </w:numPr>
        <w:spacing w:after="30" w:before="30" w:line="290"/>
      </w:pPr>
      <w:r>
        <w:rPr>
          <w:rFonts w:ascii="Calibri" w:cs="Calibri" w:eastAsia="Calibri" w:hAnsi="Calibri"/>
          <w:sz w:val="22"/>
          <w:szCs w:val="22"/>
        </w:rPr>
        <w:t xml:space="preserve">AI Observability &amp; FinOps — usage, latency, retrieval quality, cost, quota, model governance metrics; chargeback feed.</w:t>
      </w:r>
    </w:p>
    <w:p>
      <w:pPr>
        <w:pStyle w:val="Heading3"/>
        <w:spacing w:after="80" w:before="180"/>
      </w:pPr>
      <w:r>
        <w:rPr>
          <w:rFonts w:ascii="Calibri" w:cs="Calibri" w:eastAsia="Calibri" w:hAnsi="Calibri"/>
          <w:b/>
          <w:bCs/>
          <w:color w:val="2E6FA0"/>
          <w:sz w:val="23"/>
          <w:szCs w:val="23"/>
        </w:rPr>
        <w:t xml:space="preserve">Data planes (spokes) — federated, one per data platform</w:t>
      </w:r>
    </w:p>
    <w:p>
      <w:pPr>
        <w:pStyle w:val="ListParagraph"/>
        <w:numPr>
          <w:ilvl w:val="0"/>
          <w:numId w:val="2"/>
        </w:numPr>
        <w:spacing w:after="30" w:before="30" w:line="290"/>
      </w:pPr>
      <w:r>
        <w:rPr>
          <w:rFonts w:ascii="Calibri" w:cs="Calibri" w:eastAsia="Calibri" w:hAnsi="Calibri"/>
          <w:sz w:val="22"/>
          <w:szCs w:val="22"/>
        </w:rPr>
        <w:t xml:space="preserve">Vector Engine — managed or OSS engine providing collections, indexes, and ANN search; engine choice is an implementation detail that can vary per data plane behind the service contract.</w:t>
      </w:r>
    </w:p>
    <w:p>
      <w:pPr>
        <w:pStyle w:val="ListParagraph"/>
        <w:numPr>
          <w:ilvl w:val="0"/>
          <w:numId w:val="2"/>
        </w:numPr>
        <w:spacing w:after="30" w:before="30" w:line="290"/>
      </w:pPr>
      <w:r>
        <w:rPr>
          <w:rFonts w:ascii="Calibri" w:cs="Calibri" w:eastAsia="Calibri" w:hAnsi="Calibri"/>
          <w:sz w:val="22"/>
          <w:szCs w:val="22"/>
        </w:rPr>
        <w:t xml:space="preserve">Embedding Execution Service — performs embedding via Group AI's MCP-governed inference; does not host models locally.</w:t>
      </w:r>
    </w:p>
    <w:p>
      <w:pPr>
        <w:pStyle w:val="ListParagraph"/>
        <w:numPr>
          <w:ilvl w:val="0"/>
          <w:numId w:val="2"/>
        </w:numPr>
        <w:spacing w:after="30" w:before="30" w:line="290"/>
      </w:pPr>
      <w:r>
        <w:rPr>
          <w:rFonts w:ascii="Calibri" w:cs="Calibri" w:eastAsia="Calibri" w:hAnsi="Calibri"/>
          <w:sz w:val="22"/>
          <w:szCs w:val="22"/>
        </w:rPr>
        <w:t xml:space="preserve">Retrieval API — exposes filtered vector search and hybrid search hooks to consumers in that platform/region.</w:t>
      </w:r>
    </w:p>
    <w:p>
      <w:pPr>
        <w:pStyle w:val="ListParagraph"/>
        <w:numPr>
          <w:ilvl w:val="0"/>
          <w:numId w:val="2"/>
        </w:numPr>
        <w:spacing w:after="30" w:before="30" w:line="290"/>
      </w:pPr>
      <w:r>
        <w:rPr>
          <w:rFonts w:ascii="Calibri" w:cs="Calibri" w:eastAsia="Calibri" w:hAnsi="Calibri"/>
          <w:sz w:val="22"/>
          <w:szCs w:val="22"/>
        </w:rPr>
        <w:t xml:space="preserve">Runtime Access &amp; Policy Enforcement — entitlement, classification ceiling enforcement, provenance check, and access control at retrieval time.</w:t>
      </w:r>
    </w:p>
    <w:p>
      <w:pPr>
        <w:pStyle w:val="ListParagraph"/>
        <w:numPr>
          <w:ilvl w:val="0"/>
          <w:numId w:val="2"/>
        </w:numPr>
        <w:spacing w:after="30" w:before="30" w:line="290"/>
      </w:pPr>
      <w:r>
        <w:rPr>
          <w:rFonts w:ascii="Calibri" w:cs="Calibri" w:eastAsia="Calibri" w:hAnsi="Calibri"/>
          <w:sz w:val="22"/>
          <w:szCs w:val="22"/>
        </w:rPr>
        <w:t xml:space="preserve">Cache &amp; Session Store — latency-sensitive working memory for re-ranked results, agent state, and short-lived embeddings.</w:t>
      </w:r>
    </w:p>
    <w:p>
      <w:pPr>
        <w:pStyle w:val="Heading3"/>
        <w:spacing w:after="80" w:before="180"/>
      </w:pPr>
      <w:r>
        <w:rPr>
          <w:rFonts w:ascii="Calibri" w:cs="Calibri" w:eastAsia="Calibri" w:hAnsi="Calibri"/>
          <w:b/>
          <w:bCs/>
          <w:color w:val="2E6FA0"/>
          <w:sz w:val="23"/>
          <w:szCs w:val="23"/>
        </w:rPr>
        <w:t xml:space="preserve">Shared enterprise services consumed</w:t>
      </w:r>
    </w:p>
    <w:p>
      <w:pPr>
        <w:pStyle w:val="ListParagraph"/>
        <w:numPr>
          <w:ilvl w:val="0"/>
          <w:numId w:val="2"/>
        </w:numPr>
        <w:spacing w:after="30" w:before="30" w:line="290"/>
      </w:pPr>
      <w:r>
        <w:rPr>
          <w:rFonts w:ascii="Calibri" w:cs="Calibri" w:eastAsia="Calibri" w:hAnsi="Calibri"/>
          <w:sz w:val="22"/>
          <w:szCs w:val="22"/>
        </w:rPr>
        <w:t xml:space="preserve">Group AI Embeddings via MCP Gateway — the only sanctioned path for embedding inference under the proposed pattern.</w:t>
      </w:r>
    </w:p>
    <w:p>
      <w:pPr>
        <w:pStyle w:val="ListParagraph"/>
        <w:numPr>
          <w:ilvl w:val="0"/>
          <w:numId w:val="2"/>
        </w:numPr>
        <w:spacing w:after="30" w:before="30" w:line="290"/>
      </w:pPr>
      <w:r>
        <w:rPr>
          <w:rFonts w:ascii="Calibri" w:cs="Calibri" w:eastAsia="Calibri" w:hAnsi="Calibri"/>
          <w:sz w:val="22"/>
          <w:szCs w:val="22"/>
        </w:rPr>
        <w:t xml:space="preserve">Enterprise Catalogue — destination for lineage and metadata publication.</w:t>
      </w:r>
    </w:p>
    <w:p>
      <w:pPr>
        <w:pStyle w:val="ListParagraph"/>
        <w:numPr>
          <w:ilvl w:val="0"/>
          <w:numId w:val="2"/>
        </w:numPr>
        <w:spacing w:after="30" w:before="30" w:line="290"/>
      </w:pPr>
      <w:r>
        <w:rPr>
          <w:rFonts w:ascii="Calibri" w:cs="Calibri" w:eastAsia="Calibri" w:hAnsi="Calibri"/>
          <w:sz w:val="22"/>
          <w:szCs w:val="22"/>
        </w:rPr>
        <w:t xml:space="preserve">Fabric / Data Product Layer — destination for published semantic and vector-derived data products.</w:t>
      </w:r>
    </w:p>
    <w:p>
      <w:pPr>
        <w:pStyle w:val="ListParagraph"/>
        <w:numPr>
          <w:ilvl w:val="0"/>
          <w:numId w:val="2"/>
        </w:numPr>
        <w:spacing w:after="30" w:before="30" w:line="290"/>
      </w:pPr>
      <w:r>
        <w:rPr>
          <w:rFonts w:ascii="Calibri" w:cs="Calibri" w:eastAsia="Calibri" w:hAnsi="Calibri"/>
          <w:sz w:val="22"/>
          <w:szCs w:val="22"/>
        </w:rPr>
        <w:t xml:space="preserve">Enterprise IAM — identity, group resolution, runtime entitlement.</w:t>
      </w:r>
    </w:p>
    <w:p>
      <w:pPr>
        <w:pStyle w:val="ListParagraph"/>
        <w:numPr>
          <w:ilvl w:val="0"/>
          <w:numId w:val="2"/>
        </w:numPr>
        <w:spacing w:after="30" w:before="30" w:line="290"/>
      </w:pPr>
      <w:r>
        <w:rPr>
          <w:rFonts w:ascii="Calibri" w:cs="Calibri" w:eastAsia="Calibri" w:hAnsi="Calibri"/>
          <w:sz w:val="22"/>
          <w:szCs w:val="22"/>
        </w:rPr>
        <w:t xml:space="preserve">DLP / Content Safety — classification policy and content inspection.</w:t>
      </w:r>
    </w:p>
    <w:p>
      <w:pPr>
        <w:pStyle w:val="Heading2"/>
        <w:spacing w:after="120" w:before="240"/>
      </w:pPr>
      <w:r>
        <w:rPr>
          <w:rFonts w:ascii="Calibri" w:cs="Calibri" w:eastAsia="Calibri" w:hAnsi="Calibri"/>
          <w:b/>
          <w:bCs/>
          <w:color w:val="1F3A5F"/>
          <w:sz w:val="26"/>
          <w:szCs w:val="26"/>
        </w:rPr>
        <w:t xml:space="preserve">5.3 Why hub-and-spoke is the recommended target shape</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gridCol w:w="100"/>
      </w:tblGrid>
      <w:tr>
        <w:trPr>
          <w:tblHeader/>
        </w:trPr>
        <w:tc>
          <w:tcPr>
            <w:tcW w:type="dxa" w:w="3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Pattern</w:t>
            </w:r>
          </w:p>
        </w:tc>
        <w:tc>
          <w:tcPr>
            <w:tcW w:type="dxa" w:w="3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Pros</w:t>
            </w:r>
          </w:p>
        </w:tc>
        <w:tc>
          <w:tcPr>
            <w:tcW w:type="dxa" w:w="34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Why not adopted as the target enterprise position</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Single monolithic vector store</w:t>
            </w:r>
          </w:p>
        </w:tc>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One engine, one team, one cost line.</w:t>
            </w:r>
          </w:p>
        </w:tc>
        <w:tc>
          <w:tcPr>
            <w:tcW w:type="dxa" w:w="3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Cannot honour residency or platform-local performance; creates a single blast radius; couples all AI use cases to one engine choice.</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Per-use-case vector store</w:t>
            </w:r>
          </w:p>
        </w:tc>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Maximum delivery autonomy.</w:t>
            </w:r>
          </w:p>
        </w:tc>
        <w:tc>
          <w:tcPr>
            <w:tcW w:type="dxa" w:w="3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Already the painful current state — no governance, no cost transparency, no embedding consistency, no lineage.</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Per-data-platform with no centre (federated only)</w:t>
            </w:r>
          </w:p>
        </w:tc>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Matches platform reality.</w:t>
            </w:r>
          </w:p>
        </w:tc>
        <w:tc>
          <w:tcPr>
            <w:tcW w:type="dxa" w:w="3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Recreates fragmentation — no embedding governance, no service registry, no consistent retrieval-time controls.</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Hub-and-spoke (recommended)</w:t>
            </w:r>
          </w:p>
        </w:tc>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Central governance and contracts; platform-local data planes for residency and performance; engine choice flexible behind the contract; one cost model.</w:t>
            </w:r>
          </w:p>
        </w:tc>
        <w:tc>
          <w:tcPr>
            <w:tcW w:type="dxa" w:w="3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Recommended target shape, subject to working-group endorsement.</w:t>
            </w:r>
          </w:p>
        </w:tc>
      </w:tr>
    </w:tbl>
    <w:p>
      <w:pPr>
        <w:pStyle w:val="Heading1"/>
        <w:spacing w:after="160" w:before="320"/>
      </w:pPr>
      <w:r>
        <w:rPr>
          <w:rFonts w:ascii="Calibri" w:cs="Calibri" w:eastAsia="Calibri" w:hAnsi="Calibri"/>
          <w:b/>
          <w:bCs/>
          <w:color w:val="1F3A5F"/>
          <w:sz w:val="32"/>
          <w:szCs w:val="32"/>
        </w:rPr>
        <w:t xml:space="preserve">6. Capability Surface</w:t>
      </w:r>
    </w:p>
    <w:p>
      <w:pPr>
        <w:spacing w:after="80" w:before="60" w:line="300"/>
      </w:pPr>
      <w:r>
        <w:rPr>
          <w:rFonts w:ascii="Calibri" w:cs="Calibri" w:eastAsia="Calibri" w:hAnsi="Calibri"/>
          <w:color w:val="222222"/>
          <w:sz w:val="22"/>
          <w:szCs w:val="22"/>
        </w:rPr>
        <w:t xml:space="preserve">The capability surface defines what the service provides and what it does not. Boundaries matter — the most common cause of failure for shared services is scope creep into responsibilities that belong to consumers or to peer services. The capabilities below are grouped into core service capabilities that are always present and optional enterprise extensions that are enabled based on tenant need and platform readiness.</w:t>
      </w:r>
    </w:p>
    <w:tbl>
      <w:tblPr>
        <w:tblW w:type="pct" w:w="100%"/>
        <w:tblBorders>
          <w:top w:val="single" w:color="2E6FA0" w:sz="6"/>
          <w:left w:val="single" w:color="2E6FA0" w:sz="6"/>
          <w:bottom w:val="single" w:color="2E6FA0" w:sz="6"/>
          <w:right w:val="single" w:color="2E6FA0" w:sz="6"/>
          <w:insideH w:val="none" w:color="FFFFFF" w:sz="0"/>
          <w:insideV w:val="none" w:color="FFFFFF" w:sz="0"/>
        </w:tblBorders>
      </w:tblPr>
      <w:tblGrid>
        <w:gridCol w:w="100"/>
      </w:tblGrid>
      <w:tr>
        <w:tc>
          <w:tcPr>
            <w:shd w:fill="F6F8FB" w:color="auto" w:val="clear"/>
            <w:tcMar>
              <w:top w:type="dxa" w:w="120"/>
              <w:left w:type="dxa" w:w="200"/>
              <w:bottom w:type="dxa" w:w="120"/>
              <w:right w:type="dxa" w:w="200"/>
            </w:tcMar>
          </w:tcPr>
          <w:p>
            <w:pPr>
              <w:spacing w:after="40"/>
            </w:pPr>
            <w:r>
              <w:rPr>
                <w:rFonts w:ascii="Calibri" w:cs="Calibri" w:eastAsia="Calibri" w:hAnsi="Calibri"/>
                <w:b/>
                <w:bCs/>
                <w:color w:val="1F3A5F"/>
                <w:sz w:val="22"/>
                <w:szCs w:val="22"/>
              </w:rPr>
              <w:t xml:space="preserve">Service boundary statement:</w:t>
            </w:r>
          </w:p>
          <w:p>
            <w:pPr>
              <w:spacing w:after="0"/>
            </w:pPr>
            <w:r>
              <w:rPr>
                <w:rFonts w:ascii="Calibri" w:cs="Calibri" w:eastAsia="Calibri" w:hAnsi="Calibri"/>
                <w:color w:val="222222"/>
                <w:sz w:val="22"/>
                <w:szCs w:val="22"/>
              </w:rPr>
              <w:t xml:space="preserve">VectorDBaaS governs and standardises vector capability across the bank — embedding orchestration, vector persistence, vector retrieval, and the controls and governance around them. It does not own all retrieval logic, all semantic reasoning, all knowledge-graph behaviour, or all use-case-specific ranking; those remain peer-service or tenant responsibilities.</w:t>
            </w:r>
          </w:p>
        </w:tc>
      </w:tr>
    </w:tbl>
    <w:p>
      <w:pPr>
        <w:pStyle w:val="Heading2"/>
        <w:spacing w:after="120" w:before="240"/>
      </w:pPr>
      <w:r>
        <w:rPr>
          <w:rFonts w:ascii="Calibri" w:cs="Calibri" w:eastAsia="Calibri" w:hAnsi="Calibri"/>
          <w:b/>
          <w:bCs/>
          <w:color w:val="1F3A5F"/>
          <w:sz w:val="26"/>
          <w:szCs w:val="26"/>
        </w:rPr>
        <w:t xml:space="preserve">6.1 Core service capabilities</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tblGrid>
      <w:tr>
        <w:trPr>
          <w:tblHeader/>
        </w:trPr>
        <w:tc>
          <w:tcPr>
            <w:tcW w:type="dxa" w:w="3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Capability</w:t>
            </w:r>
          </w:p>
        </w:tc>
        <w:tc>
          <w:tcPr>
            <w:tcW w:type="dxa" w:w="64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Description</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Collection lifecycle</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Create, configure, evolve, and retire vector collections under contract; tenant-scoped namespaces.</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Ingestion API</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Batch and streaming upsert/delete; idempotent operations; classification and provenance metadata mandatory on every record.</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 orchestration</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Calls Group AI embedding inference via MCP using approved models registered in the model registry; embeddings are never produced from un-approved models.</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 API</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Filtered vector search, hybrid search hooks (vector + structured filters), ranked results with provenance returned for every hit.</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Runtime access and policy enforcement</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Entitlement check, classification-ceiling enforcement, provenance enforcement, residency enforcement, audit emission for every call.</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Index lifecycle</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Reindex on embedding-model refresh, scheduled rebuilds, retention-driven purge, restore from upstream source-of-truth.</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Lineage &amp; catalogue publication</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Every collection registered; every refresh event emitted; lineage events published to enterprise catalogue.</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Observability &amp; FinOps</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Usage, latency, retrieval quality signals, cost per collection / per query / per embedding, quota and chargeback feed.</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 quality governance</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 quality baselines per collection, relevance monitoring, benchmark evaluation, drift detection and escalation.</w:t>
            </w:r>
          </w:p>
        </w:tc>
      </w:tr>
    </w:tbl>
    <w:p>
      <w:pPr>
        <w:pStyle w:val="Heading2"/>
        <w:spacing w:after="120" w:before="240"/>
      </w:pPr>
      <w:r>
        <w:rPr>
          <w:rFonts w:ascii="Calibri" w:cs="Calibri" w:eastAsia="Calibri" w:hAnsi="Calibri"/>
          <w:b/>
          <w:bCs/>
          <w:color w:val="1F3A5F"/>
          <w:sz w:val="26"/>
          <w:szCs w:val="26"/>
        </w:rPr>
        <w:t xml:space="preserve">6.2 Optional enterprise extensions</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gridCol w:w="100"/>
      </w:tblGrid>
      <w:tr>
        <w:trPr>
          <w:tblHeader/>
        </w:trPr>
        <w:tc>
          <w:tcPr>
            <w:tcW w:type="dxa" w:w="3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Capability</w:t>
            </w:r>
          </w:p>
        </w:tc>
        <w:tc>
          <w:tcPr>
            <w:tcW w:type="dxa" w:w="35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Description</w:t>
            </w:r>
          </w:p>
        </w:tc>
        <w:tc>
          <w:tcPr>
            <w:tcW w:type="dxa" w:w="29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Availability</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Fabric publication</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Curated semantic and vector-derived products exposed under data product contracts for federated analytical and BI consumption.</w:t>
            </w:r>
          </w:p>
        </w:tc>
        <w:tc>
          <w:tcPr>
            <w:tcW w:type="dxa" w:w="29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Enabled per collection where Fabric integration and data product contracts are in place.</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Cross-platform retrieval orchestration</w:t>
            </w:r>
          </w:p>
        </w:tc>
        <w:tc>
          <w:tcPr>
            <w:tcW w:type="dxa" w:w="3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 across collections in multiple data planes, composed at the access layer with audit.</w:t>
            </w:r>
          </w:p>
        </w:tc>
        <w:tc>
          <w:tcPr>
            <w:tcW w:type="dxa" w:w="29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Enabled where cross-platform access patterns are approved and residency rules permit.</w:t>
            </w:r>
          </w:p>
        </w:tc>
      </w:tr>
    </w:tbl>
    <w:p>
      <w:pPr>
        <w:pStyle w:val="Heading2"/>
        <w:spacing w:after="120" w:before="240"/>
      </w:pPr>
      <w:r>
        <w:rPr>
          <w:rFonts w:ascii="Calibri" w:cs="Calibri" w:eastAsia="Calibri" w:hAnsi="Calibri"/>
          <w:b/>
          <w:bCs/>
          <w:color w:val="1F3A5F"/>
          <w:sz w:val="26"/>
          <w:szCs w:val="26"/>
        </w:rPr>
        <w:t xml:space="preserve">6.3 What VectorDBaaS does not provide</w:t>
      </w:r>
    </w:p>
    <w:p>
      <w:pPr>
        <w:pStyle w:val="ListParagraph"/>
        <w:numPr>
          <w:ilvl w:val="0"/>
          <w:numId w:val="2"/>
        </w:numPr>
        <w:spacing w:after="30" w:before="30" w:line="290"/>
      </w:pPr>
      <w:r>
        <w:rPr>
          <w:rFonts w:ascii="Calibri" w:cs="Calibri" w:eastAsia="Calibri" w:hAnsi="Calibri"/>
          <w:sz w:val="22"/>
          <w:szCs w:val="22"/>
        </w:rPr>
        <w:t xml:space="preserve">Hosting of foundation or embedding models — these are owned by Group AI and consumed via MCP.</w:t>
      </w:r>
    </w:p>
    <w:p>
      <w:pPr>
        <w:pStyle w:val="ListParagraph"/>
        <w:numPr>
          <w:ilvl w:val="0"/>
          <w:numId w:val="2"/>
        </w:numPr>
        <w:spacing w:after="30" w:before="30" w:line="290"/>
      </w:pPr>
      <w:r>
        <w:rPr>
          <w:rFonts w:ascii="Calibri" w:cs="Calibri" w:eastAsia="Calibri" w:hAnsi="Calibri"/>
          <w:sz w:val="22"/>
          <w:szCs w:val="22"/>
        </w:rPr>
        <w:t xml:space="preserve">RAG orchestration, prompt engineering, or evaluation harnesses — these belong to consuming use cases.</w:t>
      </w:r>
    </w:p>
    <w:p>
      <w:pPr>
        <w:pStyle w:val="ListParagraph"/>
        <w:numPr>
          <w:ilvl w:val="0"/>
          <w:numId w:val="2"/>
        </w:numPr>
        <w:spacing w:after="30" w:before="30" w:line="290"/>
      </w:pPr>
      <w:r>
        <w:rPr>
          <w:rFonts w:ascii="Calibri" w:cs="Calibri" w:eastAsia="Calibri" w:hAnsi="Calibri"/>
          <w:sz w:val="22"/>
          <w:szCs w:val="22"/>
        </w:rPr>
        <w:t xml:space="preserve">Source-of-truth content storage — the upstream document or transcript store remains authoritative; vector collections are derived assets and re-buildable.</w:t>
      </w:r>
    </w:p>
    <w:p>
      <w:pPr>
        <w:pStyle w:val="ListParagraph"/>
        <w:numPr>
          <w:ilvl w:val="0"/>
          <w:numId w:val="2"/>
        </w:numPr>
        <w:spacing w:after="30" w:before="30" w:line="290"/>
      </w:pPr>
      <w:r>
        <w:rPr>
          <w:rFonts w:ascii="Calibri" w:cs="Calibri" w:eastAsia="Calibri" w:hAnsi="Calibri"/>
          <w:sz w:val="22"/>
          <w:szCs w:val="22"/>
        </w:rPr>
        <w:t xml:space="preserve">Bespoke ranking models or per-tenant tuning of foundation retrieval algorithms — these are tenant-side concerns over the service's contract.</w:t>
      </w:r>
    </w:p>
    <w:p>
      <w:pPr>
        <w:pStyle w:val="ListParagraph"/>
        <w:numPr>
          <w:ilvl w:val="0"/>
          <w:numId w:val="2"/>
        </w:numPr>
        <w:spacing w:after="30" w:before="30" w:line="290"/>
      </w:pPr>
      <w:r>
        <w:rPr>
          <w:rFonts w:ascii="Calibri" w:cs="Calibri" w:eastAsia="Calibri" w:hAnsi="Calibri"/>
          <w:sz w:val="22"/>
          <w:szCs w:val="22"/>
        </w:rPr>
        <w:t xml:space="preserve">Cross-domain knowledge graph reasoning — knowledge graph services are a peer capability that may consume vectors but are not provided here.</w:t>
      </w:r>
    </w:p>
    <w:p>
      <w:pPr>
        <w:pStyle w:val="Heading1"/>
        <w:spacing w:after="160" w:before="320"/>
      </w:pPr>
      <w:r>
        <w:rPr>
          <w:rFonts w:ascii="Calibri" w:cs="Calibri" w:eastAsia="Calibri" w:hAnsi="Calibri"/>
          <w:b/>
          <w:bCs/>
          <w:color w:val="1F3A5F"/>
          <w:sz w:val="32"/>
          <w:szCs w:val="32"/>
        </w:rPr>
        <w:t xml:space="preserve">7. Tenancy and Deployment Model</w:t>
      </w:r>
    </w:p>
    <w:p>
      <w:pPr>
        <w:pStyle w:val="Heading2"/>
        <w:spacing w:after="120" w:before="240"/>
      </w:pPr>
      <w:r>
        <w:rPr>
          <w:rFonts w:ascii="Calibri" w:cs="Calibri" w:eastAsia="Calibri" w:hAnsi="Calibri"/>
          <w:b/>
          <w:bCs/>
          <w:color w:val="1F3A5F"/>
          <w:sz w:val="26"/>
          <w:szCs w:val="26"/>
        </w:rPr>
        <w:t xml:space="preserve">7.1 Tenancy</w:t>
      </w:r>
    </w:p>
    <w:p>
      <w:pPr>
        <w:spacing w:after="80" w:before="60" w:line="300"/>
      </w:pPr>
      <w:r>
        <w:rPr>
          <w:rFonts w:ascii="Calibri" w:cs="Calibri" w:eastAsia="Calibri" w:hAnsi="Calibri"/>
          <w:color w:val="222222"/>
          <w:sz w:val="22"/>
          <w:szCs w:val="22"/>
        </w:rPr>
        <w:t xml:space="preserve">Tenants are use cases or business-line domains, not individual applications. A tenant owns one or more collections; collections never span tenants. Two tenancy patterns are supported behind the service contract:</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gridCol w:w="100"/>
      </w:tblGrid>
      <w:tr>
        <w:trPr>
          <w:tblHeader/>
        </w:trPr>
        <w:tc>
          <w:tcPr>
            <w:tcW w:type="dxa" w:w="3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Pattern</w:t>
            </w:r>
          </w:p>
        </w:tc>
        <w:tc>
          <w:tcPr>
            <w:tcW w:type="dxa" w:w="3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When to use</w:t>
            </w:r>
          </w:p>
        </w:tc>
        <w:tc>
          <w:tcPr>
            <w:tcW w:type="dxa" w:w="34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Trade-offs</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Collection-per-tenant (default)</w:t>
            </w:r>
          </w:p>
        </w:tc>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Default and strongly recommended. Material residency, classification, or quota separation between tenants.</w:t>
            </w:r>
          </w:p>
        </w:tc>
        <w:tc>
          <w:tcPr>
            <w:tcW w:type="dxa" w:w="3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Strongest isolation; higher unit cost; clearer chargeback; simplest entitlement model.</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Shared collection with row-level metadata filters (exception-based)</w:t>
            </w:r>
          </w:p>
        </w:tc>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Exception-based only. Permitted only where tenants share corpus and need the same retrieval ranking, e.g. a shared knowledge base with role-based partitions.</w:t>
            </w:r>
          </w:p>
        </w:tc>
        <w:tc>
          <w:tcPr>
            <w:tcW w:type="dxa" w:w="3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Lower unit cost; relies on robust retrieval-time entitlement; requires explicit approval.</w:t>
            </w:r>
          </w:p>
        </w:tc>
      </w:tr>
    </w:tbl>
    <w:tbl>
      <w:tblPr>
        <w:tblW w:type="pct" w:w="100%"/>
        <w:tblBorders>
          <w:top w:val="single" w:color="2E6FA0" w:sz="6"/>
          <w:left w:val="single" w:color="2E6FA0" w:sz="6"/>
          <w:bottom w:val="single" w:color="2E6FA0" w:sz="6"/>
          <w:right w:val="single" w:color="2E6FA0" w:sz="6"/>
          <w:insideH w:val="none" w:color="FFFFFF" w:sz="0"/>
          <w:insideV w:val="none" w:color="FFFFFF" w:sz="0"/>
        </w:tblBorders>
      </w:tblPr>
      <w:tblGrid>
        <w:gridCol w:w="100"/>
      </w:tblGrid>
      <w:tr>
        <w:tc>
          <w:tcPr>
            <w:shd w:fill="F6F8FB" w:color="auto" w:val="clear"/>
            <w:tcMar>
              <w:top w:type="dxa" w:w="120"/>
              <w:left w:type="dxa" w:w="200"/>
              <w:bottom w:type="dxa" w:w="120"/>
              <w:right w:type="dxa" w:w="200"/>
            </w:tcMar>
          </w:tcPr>
          <w:p>
            <w:pPr>
              <w:spacing w:after="40"/>
            </w:pPr>
            <w:r>
              <w:rPr>
                <w:rFonts w:ascii="Calibri" w:cs="Calibri" w:eastAsia="Calibri" w:hAnsi="Calibri"/>
                <w:b/>
                <w:bCs/>
                <w:color w:val="1F3A5F"/>
                <w:sz w:val="22"/>
                <w:szCs w:val="22"/>
              </w:rPr>
              <w:t xml:space="preserve">Important — shared collections are exception-based:</w:t>
            </w:r>
          </w:p>
          <w:p>
            <w:pPr>
              <w:spacing w:after="0"/>
            </w:pPr>
            <w:r>
              <w:rPr>
                <w:rFonts w:ascii="Calibri" w:cs="Calibri" w:eastAsia="Calibri" w:hAnsi="Calibri"/>
                <w:color w:val="222222"/>
                <w:sz w:val="22"/>
                <w:szCs w:val="22"/>
              </w:rPr>
              <w:t xml:space="preserve">In a regulated banking environment, the default position is always collection-per-tenant. Shared collections are permitted only where classification ceilings, residency constraints, entitlement behaviour, and consumer access patterns are fully aligned and explicitly approved under the collection contract. Any shared-collection request must be reviewed and approved by AI for Tech, data governance, and security before provisioning.</w:t>
            </w:r>
          </w:p>
        </w:tc>
      </w:tr>
    </w:tbl>
    <w:p>
      <w:pPr>
        <w:pStyle w:val="Heading2"/>
        <w:spacing w:after="120" w:before="240"/>
      </w:pPr>
      <w:r>
        <w:rPr>
          <w:rFonts w:ascii="Calibri" w:cs="Calibri" w:eastAsia="Calibri" w:hAnsi="Calibri"/>
          <w:b/>
          <w:bCs/>
          <w:color w:val="1F3A5F"/>
          <w:sz w:val="26"/>
          <w:szCs w:val="26"/>
        </w:rPr>
        <w:t xml:space="preserve">7.2 Deployment topology</w:t>
      </w:r>
    </w:p>
    <w:p>
      <w:pPr>
        <w:pStyle w:val="ListParagraph"/>
        <w:numPr>
          <w:ilvl w:val="0"/>
          <w:numId w:val="2"/>
        </w:numPr>
        <w:spacing w:after="30" w:before="30" w:line="290"/>
      </w:pPr>
      <w:r>
        <w:rPr>
          <w:rFonts w:ascii="Calibri" w:cs="Calibri" w:eastAsia="Calibri" w:hAnsi="Calibri"/>
          <w:sz w:val="22"/>
          <w:szCs w:val="22"/>
        </w:rPr>
        <w:t xml:space="preserve">One control plane instance per environment (non-production / production), centrally hosted and managed by AI for Tech.</w:t>
      </w:r>
    </w:p>
    <w:p>
      <w:pPr>
        <w:pStyle w:val="ListParagraph"/>
        <w:numPr>
          <w:ilvl w:val="0"/>
          <w:numId w:val="2"/>
        </w:numPr>
        <w:spacing w:after="30" w:before="30" w:line="290"/>
      </w:pPr>
      <w:r>
        <w:rPr>
          <w:rFonts w:ascii="Calibri" w:cs="Calibri" w:eastAsia="Calibri" w:hAnsi="Calibri"/>
          <w:sz w:val="22"/>
          <w:szCs w:val="22"/>
        </w:rPr>
        <w:t xml:space="preserve">One data plane per data platform per environment. Where a platform spans regions with residency obligations, one data plane per region within that platform.</w:t>
      </w:r>
    </w:p>
    <w:p>
      <w:pPr>
        <w:pStyle w:val="ListParagraph"/>
        <w:numPr>
          <w:ilvl w:val="0"/>
          <w:numId w:val="2"/>
        </w:numPr>
        <w:spacing w:after="30" w:before="30" w:line="290"/>
      </w:pPr>
      <w:r>
        <w:rPr>
          <w:rFonts w:ascii="Calibri" w:cs="Calibri" w:eastAsia="Calibri" w:hAnsi="Calibri"/>
          <w:sz w:val="22"/>
          <w:szCs w:val="22"/>
        </w:rPr>
        <w:t xml:space="preserve">Data planes are isolated by network and identity boundary; only the control plane is permitted to issue lifecycle calls into a data plane.</w:t>
      </w:r>
    </w:p>
    <w:p>
      <w:pPr>
        <w:pStyle w:val="ListParagraph"/>
        <w:numPr>
          <w:ilvl w:val="0"/>
          <w:numId w:val="2"/>
        </w:numPr>
        <w:spacing w:after="30" w:before="30" w:line="290"/>
      </w:pPr>
      <w:r>
        <w:rPr>
          <w:rFonts w:ascii="Calibri" w:cs="Calibri" w:eastAsia="Calibri" w:hAnsi="Calibri"/>
          <w:sz w:val="22"/>
          <w:szCs w:val="22"/>
        </w:rPr>
        <w:t xml:space="preserve">Data planes never call other data planes. Cross-platform federation occurs at the access layer (retrieval orchestration or Fabric publication), not by inter-plane traffic.</w:t>
      </w:r>
    </w:p>
    <w:p>
      <w:pPr>
        <w:pStyle w:val="Heading2"/>
        <w:spacing w:after="120" w:before="240"/>
      </w:pPr>
      <w:r>
        <w:rPr>
          <w:rFonts w:ascii="Calibri" w:cs="Calibri" w:eastAsia="Calibri" w:hAnsi="Calibri"/>
          <w:b/>
          <w:bCs/>
          <w:color w:val="1F3A5F"/>
          <w:sz w:val="26"/>
          <w:szCs w:val="26"/>
        </w:rPr>
        <w:t xml:space="preserve">7.3 Residency and sovereignty</w:t>
      </w:r>
    </w:p>
    <w:p>
      <w:pPr>
        <w:pStyle w:val="ListParagraph"/>
        <w:numPr>
          <w:ilvl w:val="0"/>
          <w:numId w:val="2"/>
        </w:numPr>
        <w:spacing w:after="30" w:before="30" w:line="290"/>
      </w:pPr>
      <w:r>
        <w:rPr>
          <w:rFonts w:ascii="Calibri" w:cs="Calibri" w:eastAsia="Calibri" w:hAnsi="Calibri"/>
          <w:sz w:val="22"/>
          <w:szCs w:val="22"/>
        </w:rPr>
        <w:t xml:space="preserve">Vector data inherits the residency classification of the source content; the data plane responsible for the collection must reside in a permitted region.</w:t>
      </w:r>
    </w:p>
    <w:p>
      <w:pPr>
        <w:pStyle w:val="ListParagraph"/>
        <w:numPr>
          <w:ilvl w:val="0"/>
          <w:numId w:val="2"/>
        </w:numPr>
        <w:spacing w:after="30" w:before="30" w:line="290"/>
      </w:pPr>
      <w:r>
        <w:rPr>
          <w:rFonts w:ascii="Calibri" w:cs="Calibri" w:eastAsia="Calibri" w:hAnsi="Calibri"/>
          <w:sz w:val="22"/>
          <w:szCs w:val="22"/>
        </w:rPr>
        <w:t xml:space="preserve">Embeddings are treated as derived assets carrying the source's classification ceiling; the same residency rules apply.</w:t>
      </w:r>
    </w:p>
    <w:p>
      <w:pPr>
        <w:pStyle w:val="ListParagraph"/>
        <w:numPr>
          <w:ilvl w:val="0"/>
          <w:numId w:val="2"/>
        </w:numPr>
        <w:spacing w:after="30" w:before="30" w:line="290"/>
      </w:pPr>
      <w:r>
        <w:rPr>
          <w:rFonts w:ascii="Calibri" w:cs="Calibri" w:eastAsia="Calibri" w:hAnsi="Calibri"/>
          <w:sz w:val="22"/>
          <w:szCs w:val="22"/>
        </w:rPr>
        <w:t xml:space="preserve">Cross-region retrieval is permitted only via the access layer with explicit classification and entitlement checks; no automatic cross-region vector replication.</w:t>
      </w:r>
    </w:p>
    <w:p>
      <w:pPr>
        <w:pStyle w:val="Heading1"/>
        <w:spacing w:after="160" w:before="320"/>
      </w:pPr>
      <w:r>
        <w:rPr>
          <w:rFonts w:ascii="Calibri" w:cs="Calibri" w:eastAsia="Calibri" w:hAnsi="Calibri"/>
          <w:b/>
          <w:bCs/>
          <w:color w:val="1F3A5F"/>
          <w:sz w:val="32"/>
          <w:szCs w:val="32"/>
        </w:rPr>
        <w:t xml:space="preserve">8. Embedding Model Governance</w:t>
      </w:r>
    </w:p>
    <w:p>
      <w:pPr>
        <w:spacing w:after="80" w:before="60" w:line="300"/>
      </w:pPr>
      <w:r>
        <w:rPr>
          <w:rFonts w:ascii="Calibri" w:cs="Calibri" w:eastAsia="Calibri" w:hAnsi="Calibri"/>
          <w:color w:val="222222"/>
          <w:sz w:val="22"/>
          <w:szCs w:val="22"/>
        </w:rPr>
        <w:t xml:space="preserve">The embedding model is the single most important determinant of retrieval quality and the most frequently mishandled control point. Without governance, models drift, get out of date, vary by use case, and cannot be compared. The Embedding Model Registry in the control plane is therefore proposed as the keystone of the service rather than an optional capability.</w:t>
      </w:r>
    </w:p>
    <w:p>
      <w:pPr>
        <w:pStyle w:val="Heading2"/>
        <w:spacing w:after="120" w:before="240"/>
      </w:pPr>
      <w:r>
        <w:rPr>
          <w:rFonts w:ascii="Calibri" w:cs="Calibri" w:eastAsia="Calibri" w:hAnsi="Calibri"/>
          <w:b/>
          <w:bCs/>
          <w:color w:val="1F3A5F"/>
          <w:sz w:val="26"/>
          <w:szCs w:val="26"/>
        </w:rPr>
        <w:t xml:space="preserve">8.1 Lifecycle</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tblGrid>
      <w:tr>
        <w:trPr>
          <w:tblHeader/>
        </w:trPr>
        <w:tc>
          <w:tcPr>
            <w:tcW w:type="dxa" w:w="2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Stage</w:t>
            </w:r>
          </w:p>
        </w:tc>
        <w:tc>
          <w:tcPr>
            <w:tcW w:type="dxa" w:w="74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Control</w:t>
            </w:r>
          </w:p>
        </w:tc>
      </w:tr>
      <w:tr>
        <w:tc>
          <w:tcPr>
            <w:tcW w:type="dxa" w:w="2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Approval</w:t>
            </w:r>
          </w:p>
        </w:tc>
        <w:tc>
          <w:tcPr>
            <w:tcW w:type="dxa" w:w="7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Group AI proposes; AI for Tech and Risk endorse; the model is registered with version, intended domain, residency permissions, and deprecation policy.</w:t>
            </w:r>
          </w:p>
        </w:tc>
      </w:tr>
      <w:tr>
        <w:tc>
          <w:tcPr>
            <w:tcW w:type="dxa" w:w="2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Adoption</w:t>
            </w:r>
          </w:p>
        </w:tc>
        <w:tc>
          <w:tcPr>
            <w:tcW w:type="dxa" w:w="7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 collection declares its embedding model in its contract; embedding execution services refuse to produce vectors with non-approved models.</w:t>
            </w:r>
          </w:p>
        </w:tc>
      </w:tr>
      <w:tr>
        <w:tc>
          <w:tcPr>
            <w:tcW w:type="dxa" w:w="2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Versioning</w:t>
            </w:r>
          </w:p>
        </w:tc>
        <w:tc>
          <w:tcPr>
            <w:tcW w:type="dxa" w:w="7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Models are immutable per version; new versions are introduced under a coexistence window allowing controlled migration.</w:t>
            </w:r>
          </w:p>
        </w:tc>
      </w:tr>
      <w:tr>
        <w:tc>
          <w:tcPr>
            <w:tcW w:type="dxa" w:w="2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Drift surveillance</w:t>
            </w:r>
          </w:p>
        </w:tc>
        <w:tc>
          <w:tcPr>
            <w:tcW w:type="dxa" w:w="7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Periodic evaluation against canonical query/document pairs; drift signals trigger refresh consideration.</w:t>
            </w:r>
          </w:p>
        </w:tc>
      </w:tr>
      <w:tr>
        <w:tc>
          <w:tcPr>
            <w:tcW w:type="dxa" w:w="2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Deprecation</w:t>
            </w:r>
          </w:p>
        </w:tc>
        <w:tc>
          <w:tcPr>
            <w:tcW w:type="dxa" w:w="7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Models reach end-of-life with a published date; collections still on a deprecated model must reindex before EOL.</w:t>
            </w:r>
          </w:p>
        </w:tc>
      </w:tr>
      <w:tr>
        <w:tc>
          <w:tcPr>
            <w:tcW w:type="dxa" w:w="2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Refresh</w:t>
            </w:r>
          </w:p>
        </w:tc>
        <w:tc>
          <w:tcPr>
            <w:tcW w:type="dxa" w:w="7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Collection re-embedding orchestrated by the Index Lifecycle Service; consumers are notified; lineage records the model transition.</w:t>
            </w:r>
          </w:p>
        </w:tc>
      </w:tr>
    </w:tbl>
    <w:p>
      <w:pPr>
        <w:pStyle w:val="Heading2"/>
        <w:spacing w:after="120" w:before="240"/>
      </w:pPr>
      <w:r>
        <w:rPr>
          <w:rFonts w:ascii="Calibri" w:cs="Calibri" w:eastAsia="Calibri" w:hAnsi="Calibri"/>
          <w:b/>
          <w:bCs/>
          <w:color w:val="1F3A5F"/>
          <w:sz w:val="26"/>
          <w:szCs w:val="26"/>
        </w:rPr>
        <w:t xml:space="preserve">8.2 Tenant constraints</w:t>
      </w:r>
    </w:p>
    <w:p>
      <w:pPr>
        <w:pStyle w:val="ListParagraph"/>
        <w:numPr>
          <w:ilvl w:val="0"/>
          <w:numId w:val="2"/>
        </w:numPr>
        <w:spacing w:after="30" w:before="30" w:line="290"/>
      </w:pPr>
      <w:r>
        <w:rPr>
          <w:rFonts w:ascii="Calibri" w:cs="Calibri" w:eastAsia="Calibri" w:hAnsi="Calibri"/>
          <w:sz w:val="22"/>
          <w:szCs w:val="22"/>
        </w:rPr>
        <w:t xml:space="preserve">A tenant cannot bring its own embedding model — only registry-approved models are usable.</w:t>
      </w:r>
    </w:p>
    <w:p>
      <w:pPr>
        <w:pStyle w:val="ListParagraph"/>
        <w:numPr>
          <w:ilvl w:val="0"/>
          <w:numId w:val="2"/>
        </w:numPr>
        <w:spacing w:after="30" w:before="30" w:line="290"/>
      </w:pPr>
      <w:r>
        <w:rPr>
          <w:rFonts w:ascii="Calibri" w:cs="Calibri" w:eastAsia="Calibri" w:hAnsi="Calibri"/>
          <w:sz w:val="22"/>
          <w:szCs w:val="22"/>
        </w:rPr>
        <w:t xml:space="preserve">A tenant chooses from the approved set, declaring the choice in its collection contract.</w:t>
      </w:r>
    </w:p>
    <w:p>
      <w:pPr>
        <w:pStyle w:val="ListParagraph"/>
        <w:numPr>
          <w:ilvl w:val="0"/>
          <w:numId w:val="2"/>
        </w:numPr>
        <w:spacing w:after="30" w:before="30" w:line="290"/>
      </w:pPr>
      <w:r>
        <w:rPr>
          <w:rFonts w:ascii="Calibri" w:cs="Calibri" w:eastAsia="Calibri" w:hAnsi="Calibri"/>
          <w:sz w:val="22"/>
          <w:szCs w:val="22"/>
        </w:rPr>
        <w:t xml:space="preserve">A tenant cannot mix embedding-model versions within a single collection; cross-version collections are forbidden because retrieval ranking becomes meaningless.</w:t>
      </w:r>
    </w:p>
    <w:p>
      <w:pPr>
        <w:pStyle w:val="ListParagraph"/>
        <w:numPr>
          <w:ilvl w:val="0"/>
          <w:numId w:val="2"/>
        </w:numPr>
        <w:spacing w:after="30" w:before="30" w:line="290"/>
      </w:pPr>
      <w:r>
        <w:rPr>
          <w:rFonts w:ascii="Calibri" w:cs="Calibri" w:eastAsia="Calibri" w:hAnsi="Calibri"/>
          <w:sz w:val="22"/>
          <w:szCs w:val="22"/>
        </w:rPr>
        <w:t xml:space="preserve">A tenant is required to participate in scheduled refresh windows when its declared model is upgraded or deprecated.</w:t>
      </w:r>
    </w:p>
    <w:p>
      <w:pPr>
        <w:pStyle w:val="Heading1"/>
        <w:spacing w:after="160" w:before="320"/>
      </w:pPr>
      <w:r>
        <w:rPr>
          <w:rFonts w:ascii="Calibri" w:cs="Calibri" w:eastAsia="Calibri" w:hAnsi="Calibri"/>
          <w:b/>
          <w:bCs/>
          <w:color w:val="1F3A5F"/>
          <w:sz w:val="32"/>
          <w:szCs w:val="32"/>
        </w:rPr>
        <w:t xml:space="preserve">9. Governance, Security and Controls</w:t>
      </w:r>
    </w:p>
    <w:p>
      <w:pPr>
        <w:spacing w:after="80" w:before="60" w:line="300"/>
      </w:pPr>
      <w:r>
        <w:rPr>
          <w:rFonts w:ascii="Calibri" w:cs="Calibri" w:eastAsia="Calibri" w:hAnsi="Calibri"/>
          <w:color w:val="222222"/>
          <w:sz w:val="22"/>
          <w:szCs w:val="22"/>
        </w:rPr>
        <w:t xml:space="preserve">VectorDBaaS inherits and enforces the bank's enterprise control framework rather than introducing parallel controls. The control plane is the policy enforcement point for the service; data planes enforce per-call controls at retrieval time.</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gridCol w:w="100"/>
      </w:tblGrid>
      <w:tr>
        <w:trPr>
          <w:tblHeader/>
        </w:trPr>
        <w:tc>
          <w:tcPr>
            <w:tcW w:type="dxa" w:w="22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Control area</w:t>
            </w:r>
          </w:p>
        </w:tc>
        <w:tc>
          <w:tcPr>
            <w:tcW w:type="dxa" w:w="35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Service position</w:t>
            </w:r>
          </w:p>
        </w:tc>
        <w:tc>
          <w:tcPr>
            <w:tcW w:type="dxa" w:w="37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Enforcement point</w:t>
            </w:r>
          </w:p>
        </w:tc>
      </w:tr>
      <w:tr>
        <w:tc>
          <w:tcPr>
            <w:tcW w:type="dxa" w:w="2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Identity &amp; access</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All consumer traffic authenticates via Enterprise IAM; service principals scoped per tenant and per environment.</w:t>
            </w:r>
          </w:p>
        </w:tc>
        <w:tc>
          <w:tcPr>
            <w:tcW w:type="dxa" w:w="37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Access layer + data plane retrieval API.</w:t>
            </w:r>
          </w:p>
        </w:tc>
      </w:tr>
      <w:tr>
        <w:tc>
          <w:tcPr>
            <w:tcW w:type="dxa" w:w="2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Runtime entitlement</w:t>
            </w:r>
          </w:p>
        </w:tc>
        <w:tc>
          <w:tcPr>
            <w:tcW w:type="dxa" w:w="3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Every retrieval call evaluated against the caller's group memberships and the collection's classification ceiling.</w:t>
            </w:r>
          </w:p>
        </w:tc>
        <w:tc>
          <w:tcPr>
            <w:tcW w:type="dxa" w:w="37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Data plane runtime access &amp; policy enforcement.</w:t>
            </w:r>
          </w:p>
        </w:tc>
      </w:tr>
      <w:tr>
        <w:tc>
          <w:tcPr>
            <w:tcW w:type="dxa" w:w="2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Classification &amp; DLP</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Every record carries source classification and provenance; the classification gate blocks ingestion of un-classified content.</w:t>
            </w:r>
          </w:p>
        </w:tc>
        <w:tc>
          <w:tcPr>
            <w:tcW w:type="dxa" w:w="37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Control plane classification gate at ingestion.</w:t>
            </w:r>
          </w:p>
        </w:tc>
      </w:tr>
      <w:tr>
        <w:tc>
          <w:tcPr>
            <w:tcW w:type="dxa" w:w="2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Lineage &amp; provenance</w:t>
            </w:r>
          </w:p>
        </w:tc>
        <w:tc>
          <w:tcPr>
            <w:tcW w:type="dxa" w:w="3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Every collection, refresh, and reindex event is emitted to the enterprise catalogue.</w:t>
            </w:r>
          </w:p>
        </w:tc>
        <w:tc>
          <w:tcPr>
            <w:tcW w:type="dxa" w:w="37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Control plane lineage publisher.</w:t>
            </w:r>
          </w:p>
        </w:tc>
      </w:tr>
      <w:tr>
        <w:tc>
          <w:tcPr>
            <w:tcW w:type="dxa" w:w="2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Audit &amp; observability</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Every API call (ingest, query, lifecycle) generates an audit record with caller, tenant, classification, and outcome.</w:t>
            </w:r>
          </w:p>
        </w:tc>
        <w:tc>
          <w:tcPr>
            <w:tcW w:type="dxa" w:w="37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Data plane (per-call) and control plane (lifecycle).</w:t>
            </w:r>
          </w:p>
        </w:tc>
      </w:tr>
      <w:tr>
        <w:tc>
          <w:tcPr>
            <w:tcW w:type="dxa" w:w="2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Encryption &amp; keys</w:t>
            </w:r>
          </w:p>
        </w:tc>
        <w:tc>
          <w:tcPr>
            <w:tcW w:type="dxa" w:w="3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Encryption in transit mandatory; encryption at rest by enterprise KMS; per-tenant key separation where required.</w:t>
            </w:r>
          </w:p>
        </w:tc>
        <w:tc>
          <w:tcPr>
            <w:tcW w:type="dxa" w:w="37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Data plane storage layer.</w:t>
            </w:r>
          </w:p>
        </w:tc>
      </w:tr>
      <w:tr>
        <w:tc>
          <w:tcPr>
            <w:tcW w:type="dxa" w:w="2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Sovereignty &amp; residency</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Collections pinned to permitted regions; cross-region retrieval gated.</w:t>
            </w:r>
          </w:p>
        </w:tc>
        <w:tc>
          <w:tcPr>
            <w:tcW w:type="dxa" w:w="37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Control plane registry + data plane runtime.</w:t>
            </w:r>
          </w:p>
        </w:tc>
      </w:tr>
      <w:tr>
        <w:tc>
          <w:tcPr>
            <w:tcW w:type="dxa" w:w="2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Responsible AI</w:t>
            </w:r>
          </w:p>
        </w:tc>
        <w:tc>
          <w:tcPr>
            <w:tcW w:type="dxa" w:w="3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 results return provenance; downstream RAG must use provenance for citation; toxic / unsafe content filtering applied at ingestion via DLP gate.</w:t>
            </w:r>
          </w:p>
        </w:tc>
        <w:tc>
          <w:tcPr>
            <w:tcW w:type="dxa" w:w="37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Control plane gate + consumer responsibility.</w:t>
            </w:r>
          </w:p>
        </w:tc>
      </w:tr>
      <w:tr>
        <w:tc>
          <w:tcPr>
            <w:tcW w:type="dxa" w:w="2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Retention &amp; deletion</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Retention declared in collection contract; right-to-erasure propagated from source to vector via reindex/purge orchestration.</w:t>
            </w:r>
          </w:p>
        </w:tc>
        <w:tc>
          <w:tcPr>
            <w:tcW w:type="dxa" w:w="37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Control plane index lifecycle service.</w:t>
            </w:r>
          </w:p>
        </w:tc>
      </w:tr>
    </w:tbl>
    <w:p>
      <w:pPr>
        <w:pStyle w:val="Heading2"/>
        <w:spacing w:after="120" w:before="240"/>
      </w:pPr>
      <w:r>
        <w:rPr>
          <w:rFonts w:ascii="Calibri" w:cs="Calibri" w:eastAsia="Calibri" w:hAnsi="Calibri"/>
          <w:b/>
          <w:bCs/>
          <w:color w:val="1F3A5F"/>
          <w:sz w:val="26"/>
          <w:szCs w:val="26"/>
        </w:rPr>
        <w:t xml:space="preserve">9.1 Retrieval Quality Governance</w:t>
      </w:r>
    </w:p>
    <w:p>
      <w:pPr>
        <w:spacing w:after="80" w:before="60" w:line="300"/>
      </w:pPr>
      <w:r>
        <w:rPr>
          <w:rFonts w:ascii="Calibri" w:cs="Calibri" w:eastAsia="Calibri" w:hAnsi="Calibri"/>
          <w:color w:val="222222"/>
          <w:sz w:val="22"/>
          <w:szCs w:val="22"/>
        </w:rPr>
        <w:t xml:space="preserve">A service can be governance-compliant — meeting all classification, lineage, entitlement, and audit requirements — and still fail if the quality of retrieval results does not meet business expectations. Retrieval quality governance is therefore a first-class concern of the service, not an afterthought.</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gridCol w:w="100"/>
      </w:tblGrid>
      <w:tr>
        <w:trPr>
          <w:tblHeader/>
        </w:trPr>
        <w:tc>
          <w:tcPr>
            <w:tcW w:type="dxa" w:w="24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Aspect</w:t>
            </w:r>
          </w:p>
        </w:tc>
        <w:tc>
          <w:tcPr>
            <w:tcW w:type="dxa" w:w="42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Service position</w:t>
            </w:r>
          </w:p>
        </w:tc>
        <w:tc>
          <w:tcPr>
            <w:tcW w:type="dxa" w:w="28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Responsibility</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 quality baselines</w:t>
            </w:r>
          </w:p>
        </w:tc>
        <w:tc>
          <w:tcPr>
            <w:tcW w:type="dxa" w:w="4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Every collection should have a defined retrieval quality baseline — a minimum acceptable relevance standard against a representative benchmark set.</w:t>
            </w:r>
          </w:p>
        </w:tc>
        <w:tc>
          <w:tcPr>
            <w:tcW w:type="dxa" w:w="28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Tenant defines acceptance criteria; AI for Tech provides the measurement framework.</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Relevance monitoring</w:t>
            </w:r>
          </w:p>
        </w:tc>
        <w:tc>
          <w:tcPr>
            <w:tcW w:type="dxa" w:w="4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Sampled relevance evaluation is performed on a scheduled basis using the collection's benchmark set; results are published to the tenant and to observability.</w:t>
            </w:r>
          </w:p>
        </w:tc>
        <w:tc>
          <w:tcPr>
            <w:tcW w:type="dxa" w:w="28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 operates the evaluation framework; tenant owns the benchmark set.</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Benchmark sets</w:t>
            </w:r>
          </w:p>
        </w:tc>
        <w:tc>
          <w:tcPr>
            <w:tcW w:type="dxa" w:w="4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Each collection contract should reference a benchmark set — a curated set of queries and expected results that represent the tenant's retrieval expectations.</w:t>
            </w:r>
          </w:p>
        </w:tc>
        <w:tc>
          <w:tcPr>
            <w:tcW w:type="dxa" w:w="28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Tenant provides and maintains the benchmark set; AI for Tech validates format and coverage.</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Drift detection</w:t>
            </w:r>
          </w:p>
        </w:tc>
        <w:tc>
          <w:tcPr>
            <w:tcW w:type="dxa" w:w="4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 quality metrics are monitored for drift over time; degradation beyond the defined baseline triggers an alert and review.</w:t>
            </w:r>
          </w:p>
        </w:tc>
        <w:tc>
          <w:tcPr>
            <w:tcW w:type="dxa" w:w="28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 detects and alerts; tenant and AI for Tech jointly investigate.</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 model impact</w:t>
            </w:r>
          </w:p>
        </w:tc>
        <w:tc>
          <w:tcPr>
            <w:tcW w:type="dxa" w:w="4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 quality is re-evaluated after every embedding model refresh; quality regression blocks promotion to production.</w:t>
            </w:r>
          </w:p>
        </w:tc>
        <w:tc>
          <w:tcPr>
            <w:tcW w:type="dxa" w:w="28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 orchestrates evaluation; tenant signs off on quality.</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Escalation</w:t>
            </w:r>
          </w:p>
        </w:tc>
        <w:tc>
          <w:tcPr>
            <w:tcW w:type="dxa" w:w="4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Sustained retrieval quality degradation that cannot be resolved by re-indexing or model refresh is escalated to the working group.</w:t>
            </w:r>
          </w:p>
        </w:tc>
        <w:tc>
          <w:tcPr>
            <w:tcW w:type="dxa" w:w="28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 escalates; working group decides.</w:t>
            </w:r>
          </w:p>
        </w:tc>
      </w:tr>
    </w:tbl>
    <w:tbl>
      <w:tblPr>
        <w:tblW w:type="pct" w:w="100%"/>
        <w:tblBorders>
          <w:top w:val="single" w:color="2E6FA0" w:sz="6"/>
          <w:left w:val="single" w:color="2E6FA0" w:sz="6"/>
          <w:bottom w:val="single" w:color="2E6FA0" w:sz="6"/>
          <w:right w:val="single" w:color="2E6FA0" w:sz="6"/>
          <w:insideH w:val="none" w:color="FFFFFF" w:sz="0"/>
          <w:insideV w:val="none" w:color="FFFFFF" w:sz="0"/>
        </w:tblBorders>
      </w:tblPr>
      <w:tblGrid>
        <w:gridCol w:w="100"/>
      </w:tblGrid>
      <w:tr>
        <w:tc>
          <w:tcPr>
            <w:shd w:fill="F6F8FB" w:color="auto" w:val="clear"/>
            <w:tcMar>
              <w:top w:type="dxa" w:w="120"/>
              <w:left w:type="dxa" w:w="200"/>
              <w:bottom w:type="dxa" w:w="120"/>
              <w:right w:type="dxa" w:w="200"/>
            </w:tcMar>
          </w:tcPr>
          <w:p>
            <w:pPr>
              <w:spacing w:after="40"/>
            </w:pPr>
            <w:r>
              <w:rPr>
                <w:rFonts w:ascii="Calibri" w:cs="Calibri" w:eastAsia="Calibri" w:hAnsi="Calibri"/>
                <w:b/>
                <w:bCs/>
                <w:color w:val="1F3A5F"/>
                <w:sz w:val="22"/>
                <w:szCs w:val="22"/>
              </w:rPr>
              <w:t xml:space="preserve">Tenant vs service responsibility — the boundary:</w:t>
            </w:r>
          </w:p>
          <w:p>
            <w:pPr>
              <w:spacing w:after="0"/>
            </w:pPr>
            <w:r>
              <w:rPr>
                <w:rFonts w:ascii="Calibri" w:cs="Calibri" w:eastAsia="Calibri" w:hAnsi="Calibri"/>
                <w:color w:val="222222"/>
                <w:sz w:val="22"/>
                <w:szCs w:val="22"/>
              </w:rPr>
              <w:t xml:space="preserve">The service provides the measurement framework, monitoring and tooling within which retrieval quality is evaluated. The tenant defines business-relevant benchmark sets, the acceptance criteria, and what "good enough" means for their use case. The service does not own business relevance for any tenant corpus — that stays with the tenant who understands the consumers and the success criteria.</w:t>
            </w:r>
          </w:p>
        </w:tc>
      </w:tr>
    </w:tbl>
    <w:p>
      <w:pPr>
        <w:pStyle w:val="Heading1"/>
        <w:spacing w:after="160" w:before="320"/>
      </w:pPr>
      <w:r>
        <w:rPr>
          <w:rFonts w:ascii="Calibri" w:cs="Calibri" w:eastAsia="Calibri" w:hAnsi="Calibri"/>
          <w:b/>
          <w:bCs/>
          <w:color w:val="1F3A5F"/>
          <w:sz w:val="32"/>
          <w:szCs w:val="32"/>
        </w:rPr>
        <w:t xml:space="preserve">10. Dual Access Model</w:t>
      </w:r>
    </w:p>
    <w:p>
      <w:pPr>
        <w:spacing w:after="80" w:before="60" w:line="300"/>
      </w:pPr>
      <w:r>
        <w:rPr>
          <w:rFonts w:ascii="Calibri" w:cs="Calibri" w:eastAsia="Calibri" w:hAnsi="Calibri"/>
          <w:color w:val="222222"/>
          <w:sz w:val="22"/>
          <w:szCs w:val="22"/>
        </w:rPr>
        <w:t xml:space="preserve">The same vector capability is consumed in two architecturally different ways. Both paths share the same underlying collections and the same control-plane governance — what differs is the exposure surface and the consumer pattern.</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gridCol w:w="100"/>
      </w:tblGrid>
      <w:tr>
        <w:trPr>
          <w:tblHeader/>
        </w:trPr>
        <w:tc>
          <w:tcPr>
            <w:tcW w:type="dxa" w:w="22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Aspect</w:t>
            </w:r>
          </w:p>
        </w:tc>
        <w:tc>
          <w:tcPr>
            <w:tcW w:type="dxa" w:w="35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Direct runtime retrieval</w:t>
            </w:r>
          </w:p>
        </w:tc>
        <w:tc>
          <w:tcPr>
            <w:tcW w:type="dxa" w:w="37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Fabric-published semantic &amp; vector-derived products</w:t>
            </w:r>
          </w:p>
        </w:tc>
      </w:tr>
      <w:tr>
        <w:tc>
          <w:tcPr>
            <w:tcW w:type="dxa" w:w="2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Primary consumers</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RAG / copilot, agentic workflows, retrieval orchestration.</w:t>
            </w:r>
          </w:p>
        </w:tc>
        <w:tc>
          <w:tcPr>
            <w:tcW w:type="dxa" w:w="37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BI, analytical workloads, applications under data product contracts.</w:t>
            </w:r>
          </w:p>
        </w:tc>
      </w:tr>
      <w:tr>
        <w:tc>
          <w:tcPr>
            <w:tcW w:type="dxa" w:w="2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Latency profile</w:t>
            </w:r>
          </w:p>
        </w:tc>
        <w:tc>
          <w:tcPr>
            <w:tcW w:type="dxa" w:w="3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Tight (sub-second SLAs).</w:t>
            </w:r>
          </w:p>
        </w:tc>
        <w:tc>
          <w:tcPr>
            <w:tcW w:type="dxa" w:w="37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Relaxed; cached or product-derived.</w:t>
            </w:r>
          </w:p>
        </w:tc>
      </w:tr>
      <w:tr>
        <w:tc>
          <w:tcPr>
            <w:tcW w:type="dxa" w:w="2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Governance surface</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Retrieval-time entitlement and classification at every call.</w:t>
            </w:r>
          </w:p>
        </w:tc>
        <w:tc>
          <w:tcPr>
            <w:tcW w:type="dxa" w:w="37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Data product contract; federated access governance.</w:t>
            </w:r>
          </w:p>
        </w:tc>
      </w:tr>
      <w:tr>
        <w:tc>
          <w:tcPr>
            <w:tcW w:type="dxa" w:w="2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Discovery</w:t>
            </w:r>
          </w:p>
        </w:tc>
        <w:tc>
          <w:tcPr>
            <w:tcW w:type="dxa" w:w="3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Service registry; tenants connect via service principals.</w:t>
            </w:r>
          </w:p>
        </w:tc>
        <w:tc>
          <w:tcPr>
            <w:tcW w:type="dxa" w:w="37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Enterprise catalogue and Fabric data product marketplace.</w:t>
            </w:r>
          </w:p>
        </w:tc>
      </w:tr>
      <w:tr>
        <w:tc>
          <w:tcPr>
            <w:tcW w:type="dxa" w:w="2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Refresh cadence</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Continuous to near real-time.</w:t>
            </w:r>
          </w:p>
        </w:tc>
        <w:tc>
          <w:tcPr>
            <w:tcW w:type="dxa" w:w="37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Aligned to product publication cadence.</w:t>
            </w:r>
          </w:p>
        </w:tc>
      </w:tr>
      <w:tr>
        <w:tc>
          <w:tcPr>
            <w:tcW w:type="dxa" w:w="2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Typical use</w:t>
            </w:r>
          </w:p>
        </w:tc>
        <w:tc>
          <w:tcPr>
            <w:tcW w:type="dxa" w:w="3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User asks an assistant a question.</w:t>
            </w:r>
          </w:p>
        </w:tc>
        <w:tc>
          <w:tcPr>
            <w:tcW w:type="dxa" w:w="37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BI dashboard reading a semantic product; analyst exploring a curated collection.</w:t>
            </w:r>
          </w:p>
        </w:tc>
      </w:tr>
      <w:tr>
        <w:tc>
          <w:tcPr>
            <w:tcW w:type="dxa" w:w="2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What is exposed</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Direct vector search results with provenance.</w:t>
            </w:r>
          </w:p>
        </w:tc>
        <w:tc>
          <w:tcPr>
            <w:tcW w:type="dxa" w:w="37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Curated semantic products, governed semantic views, or contract-bound vector-derived products — not raw vector collections.</w:t>
            </w:r>
          </w:p>
        </w:tc>
      </w:tr>
    </w:tbl>
    <w:p>
      <w:pPr>
        <w:spacing w:after="80" w:before="60" w:line="300"/>
      </w:pPr>
      <w:r>
        <w:rPr>
          <w:rFonts w:ascii="Calibri" w:cs="Calibri" w:eastAsia="Calibri" w:hAnsi="Calibri"/>
          <w:color w:val="222222"/>
          <w:sz w:val="22"/>
          <w:szCs w:val="22"/>
        </w:rPr>
        <w:t xml:space="preserve">Critically, both paths are governed by the same control plane — there is no Fabric path that bypasses classification, lineage, or embedding governance. Fabric publication is an exposure decision, not a governance shortcut.</w:t>
      </w:r>
    </w:p>
    <w:p>
      <w:pPr>
        <w:spacing w:after="80" w:before="60" w:line="300"/>
      </w:pPr>
      <w:r>
        <w:rPr>
          <w:rFonts w:ascii="Calibri" w:cs="Calibri" w:eastAsia="Calibri" w:hAnsi="Calibri"/>
          <w:color w:val="222222"/>
          <w:sz w:val="22"/>
          <w:szCs w:val="22"/>
        </w:rPr>
        <w:t xml:space="preserve">To make the publication boundary explicit: Fabric typically publishes (a) curated semantic products — contract-bound retrieval outputs such as documented top-K result sets under stable queries, or derived knowledge products such as topic maps; (b) governed semantic views — contract-bound projections over an underlying collection; or (c) contract-bound vector-derived products — derived assets such as cluster summaries, similarity neighbourhoods, or topic-level aggregates. Fabric does not expose unmanaged raw vector collections. Where a consumer requires raw vector access, the appropriate path is direct runtime retrieval under service principal, not Fabric publication.</w:t>
      </w:r>
    </w:p>
    <w:p>
      <w:pPr>
        <w:pStyle w:val="Heading1"/>
        <w:spacing w:after="160" w:before="320"/>
      </w:pPr>
      <w:r>
        <w:rPr>
          <w:rFonts w:ascii="Calibri" w:cs="Calibri" w:eastAsia="Calibri" w:hAnsi="Calibri"/>
          <w:b/>
          <w:bCs/>
          <w:color w:val="1F3A5F"/>
          <w:sz w:val="32"/>
          <w:szCs w:val="32"/>
        </w:rPr>
        <w:t xml:space="preserve">11. Operating Model</w:t>
      </w:r>
    </w:p>
    <w:p>
      <w:pPr>
        <w:pStyle w:val="Heading2"/>
        <w:spacing w:after="120" w:before="240"/>
      </w:pPr>
      <w:r>
        <w:rPr>
          <w:rFonts w:ascii="Calibri" w:cs="Calibri" w:eastAsia="Calibri" w:hAnsi="Calibri"/>
          <w:b/>
          <w:bCs/>
          <w:color w:val="1F3A5F"/>
          <w:sz w:val="26"/>
          <w:szCs w:val="26"/>
        </w:rPr>
        <w:t xml:space="preserve">11.1 Ownership and accountability boundaries</w:t>
      </w:r>
    </w:p>
    <w:p>
      <w:pPr>
        <w:spacing w:after="80" w:before="60" w:line="300"/>
      </w:pPr>
      <w:r>
        <w:rPr>
          <w:rFonts w:ascii="Calibri" w:cs="Calibri" w:eastAsia="Calibri" w:hAnsi="Calibri"/>
          <w:color w:val="222222"/>
          <w:sz w:val="22"/>
          <w:szCs w:val="22"/>
        </w:rPr>
        <w:t xml:space="preserve">Clear ownership boundaries are essential for a shared enterprise service in a regulated bank. The following accountability model is proposed:</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tblGrid>
      <w:tr>
        <w:trPr>
          <w:tblHeader/>
        </w:trPr>
        <w:tc>
          <w:tcPr>
            <w:tcW w:type="dxa" w:w="3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Accountable party</w:t>
            </w:r>
          </w:p>
        </w:tc>
        <w:tc>
          <w:tcPr>
            <w:tcW w:type="dxa" w:w="64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Scope of accountability</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Service design, control-plane standards, collection contract governance, onboarding coordination, embedding registry maintenance, retrieval quality framework, observability and FinOps framework, service roadmap.</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Data platform teams (per platform)</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Operating local data planes within their platforms; platform-local performance, scale, availability, residency compliance; infrastructure provisioning and capacity management.</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Group AI</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Approved embedding model provision via MCP; model-level service commitments; model lifecycle (approval, versioning, deprecation, refresh); participation in embedding model registry.</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Data Governance / CDO function</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Classification policy, lineage standards, retention policy, data product governance standards.</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Security</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IAM standards, KMS, DLP policy, runtime entitlement standards, encryption standards.</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Risk</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Reviews embedding-model approvals; reviews Responsible-AI alignment; advises on shared-collection risk.</w:t>
            </w:r>
          </w:p>
        </w:tc>
      </w:tr>
    </w:tbl>
    <w:p>
      <w:pPr>
        <w:spacing w:after="80" w:before="60" w:line="300"/>
      </w:pPr>
      <w:r>
        <w:rPr>
          <w:rFonts w:ascii="Calibri" w:cs="Calibri" w:eastAsia="Calibri" w:hAnsi="Calibri"/>
          <w:color w:val="222222"/>
          <w:sz w:val="22"/>
          <w:szCs w:val="22"/>
        </w:rPr>
        <w:t xml:space="preserve">AI for Tech is proposed as accountable for service design, control-plane standards, collection contract governance, and onboarding coordination. Data platforms remain accountable for operating their local data planes. Group AI remains accountable for approved model provision and model-level service commitments. Security, data governance, and risk functions own their respective policy standards, which the service enforces but does not define.</w:t>
      </w:r>
    </w:p>
    <w:p>
      <w:pPr>
        <w:pStyle w:val="Heading2"/>
        <w:spacing w:after="120" w:before="240"/>
      </w:pPr>
      <w:r>
        <w:rPr>
          <w:rFonts w:ascii="Calibri" w:cs="Calibri" w:eastAsia="Calibri" w:hAnsi="Calibri"/>
          <w:b/>
          <w:bCs/>
          <w:color w:val="1F3A5F"/>
          <w:sz w:val="26"/>
          <w:szCs w:val="26"/>
        </w:rPr>
        <w:t xml:space="preserve">11.2 RACI</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gridCol w:w="100"/>
        <w:gridCol w:w="100"/>
        <w:gridCol w:w="100"/>
      </w:tblGrid>
      <w:tr>
        <w:trPr>
          <w:tblHeader/>
        </w:trPr>
        <w:tc>
          <w:tcPr>
            <w:tcW w:type="dxa" w:w="24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Activity</w:t>
            </w:r>
          </w:p>
        </w:tc>
        <w:tc>
          <w:tcPr>
            <w:tcW w:type="dxa" w:w="15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Responsible</w:t>
            </w:r>
          </w:p>
        </w:tc>
        <w:tc>
          <w:tcPr>
            <w:tcW w:type="dxa" w:w="15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Accountable</w:t>
            </w:r>
          </w:p>
        </w:tc>
        <w:tc>
          <w:tcPr>
            <w:tcW w:type="dxa" w:w="15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Consulted</w:t>
            </w:r>
          </w:p>
        </w:tc>
        <w:tc>
          <w:tcPr>
            <w:tcW w:type="dxa" w:w="25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Informed</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Service strategy and roadmap</w:t>
            </w:r>
          </w:p>
        </w:tc>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 architecture</w:t>
            </w:r>
          </w:p>
        </w:tc>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Head of AI for Tech</w:t>
            </w:r>
          </w:p>
        </w:tc>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Group AI, Data Platforms, Risk, Security</w:t>
            </w:r>
          </w:p>
        </w:tc>
        <w:tc>
          <w:tcPr>
            <w:tcW w:type="dxa" w:w="2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Business-line architects</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Control plane operation</w:t>
            </w:r>
          </w:p>
        </w:tc>
        <w:tc>
          <w:tcPr>
            <w:tcW w:type="dxa" w:w="1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 platform team</w:t>
            </w:r>
          </w:p>
        </w:tc>
        <w:tc>
          <w:tcPr>
            <w:tcW w:type="dxa" w:w="1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 engineering lead</w:t>
            </w:r>
          </w:p>
        </w:tc>
        <w:tc>
          <w:tcPr>
            <w:tcW w:type="dxa" w:w="1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Security, Audit</w:t>
            </w:r>
          </w:p>
        </w:tc>
        <w:tc>
          <w:tcPr>
            <w:tcW w:type="dxa" w:w="2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Tenants</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Data plane operation</w:t>
            </w:r>
          </w:p>
        </w:tc>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Data platform team (per platform)</w:t>
            </w:r>
          </w:p>
        </w:tc>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Data platform owner</w:t>
            </w:r>
          </w:p>
        </w:tc>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 control plane team</w:t>
            </w:r>
          </w:p>
        </w:tc>
        <w:tc>
          <w:tcPr>
            <w:tcW w:type="dxa" w:w="2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Tenants</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 model approval</w:t>
            </w:r>
          </w:p>
        </w:tc>
        <w:tc>
          <w:tcPr>
            <w:tcW w:type="dxa" w:w="1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Group AI</w:t>
            </w:r>
          </w:p>
        </w:tc>
        <w:tc>
          <w:tcPr>
            <w:tcW w:type="dxa" w:w="1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Group AI head</w:t>
            </w:r>
          </w:p>
        </w:tc>
        <w:tc>
          <w:tcPr>
            <w:tcW w:type="dxa" w:w="1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 Risk, Security</w:t>
            </w:r>
          </w:p>
        </w:tc>
        <w:tc>
          <w:tcPr>
            <w:tcW w:type="dxa" w:w="2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Tenants</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 registry maintenance</w:t>
            </w:r>
          </w:p>
        </w:tc>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w:t>
            </w:r>
          </w:p>
        </w:tc>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 architecture lead</w:t>
            </w:r>
          </w:p>
        </w:tc>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Group AI</w:t>
            </w:r>
          </w:p>
        </w:tc>
        <w:tc>
          <w:tcPr>
            <w:tcW w:type="dxa" w:w="2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Tenants</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Classification policy</w:t>
            </w:r>
          </w:p>
        </w:tc>
        <w:tc>
          <w:tcPr>
            <w:tcW w:type="dxa" w:w="1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Data Governance</w:t>
            </w:r>
          </w:p>
        </w:tc>
        <w:tc>
          <w:tcPr>
            <w:tcW w:type="dxa" w:w="1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CDO function</w:t>
            </w:r>
          </w:p>
        </w:tc>
        <w:tc>
          <w:tcPr>
            <w:tcW w:type="dxa" w:w="1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Security, AI for Tech</w:t>
            </w:r>
          </w:p>
        </w:tc>
        <w:tc>
          <w:tcPr>
            <w:tcW w:type="dxa" w:w="2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Tenants</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Tenant onboarding</w:t>
            </w:r>
          </w:p>
        </w:tc>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 (control plane)</w:t>
            </w:r>
          </w:p>
        </w:tc>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 service owner</w:t>
            </w:r>
          </w:p>
        </w:tc>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Data platform team, tenant lead</w:t>
            </w:r>
          </w:p>
        </w:tc>
        <w:tc>
          <w:tcPr>
            <w:tcW w:type="dxa" w:w="2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Risk, Security</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 quality framework</w:t>
            </w:r>
          </w:p>
        </w:tc>
        <w:tc>
          <w:tcPr>
            <w:tcW w:type="dxa" w:w="1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w:t>
            </w:r>
          </w:p>
        </w:tc>
        <w:tc>
          <w:tcPr>
            <w:tcW w:type="dxa" w:w="1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 architecture lead</w:t>
            </w:r>
          </w:p>
        </w:tc>
        <w:tc>
          <w:tcPr>
            <w:tcW w:type="dxa" w:w="1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Group AI, tenants</w:t>
            </w:r>
          </w:p>
        </w:tc>
        <w:tc>
          <w:tcPr>
            <w:tcW w:type="dxa" w:w="2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Risk</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Incident response</w:t>
            </w:r>
          </w:p>
        </w:tc>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Operating data platform team</w:t>
            </w:r>
          </w:p>
        </w:tc>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for Tech service owner (cross-platform)</w:t>
            </w:r>
          </w:p>
        </w:tc>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Security, Tenant</w:t>
            </w:r>
          </w:p>
        </w:tc>
        <w:tc>
          <w:tcPr>
            <w:tcW w:type="dxa" w:w="2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Group AI</w:t>
            </w:r>
          </w:p>
        </w:tc>
      </w:tr>
    </w:tbl>
    <w:p>
      <w:pPr>
        <w:pStyle w:val="Heading2"/>
        <w:spacing w:after="120" w:before="240"/>
      </w:pPr>
      <w:r>
        <w:rPr>
          <w:rFonts w:ascii="Calibri" w:cs="Calibri" w:eastAsia="Calibri" w:hAnsi="Calibri"/>
          <w:b/>
          <w:bCs/>
          <w:color w:val="1F3A5F"/>
          <w:sz w:val="26"/>
          <w:szCs w:val="26"/>
        </w:rPr>
        <w:t xml:space="preserve">11.3 Tenant onboarding lifecycle</w:t>
      </w:r>
    </w:p>
    <w:p>
      <w:pPr>
        <w:pStyle w:val="ListParagraph"/>
        <w:numPr>
          <w:ilvl w:val="0"/>
          <w:numId w:val="2"/>
        </w:numPr>
        <w:spacing w:after="30" w:before="30" w:line="290"/>
      </w:pPr>
      <w:r>
        <w:rPr>
          <w:rFonts w:ascii="Calibri" w:cs="Calibri" w:eastAsia="Calibri" w:hAnsi="Calibri"/>
          <w:sz w:val="22"/>
          <w:szCs w:val="22"/>
        </w:rPr>
        <w:t xml:space="preserve">Intake — tenant submits a collection request with intended use case, source-of-truth pointer, classification, residency, expected scale, chosen embedding model, and retrieval quality acceptance criteria.</w:t>
      </w:r>
    </w:p>
    <w:p>
      <w:pPr>
        <w:pStyle w:val="ListParagraph"/>
        <w:numPr>
          <w:ilvl w:val="0"/>
          <w:numId w:val="2"/>
        </w:numPr>
        <w:spacing w:after="30" w:before="30" w:line="290"/>
      </w:pPr>
      <w:r>
        <w:rPr>
          <w:rFonts w:ascii="Calibri" w:cs="Calibri" w:eastAsia="Calibri" w:hAnsi="Calibri"/>
          <w:sz w:val="22"/>
          <w:szCs w:val="22"/>
        </w:rPr>
        <w:t xml:space="preserve">Review — AI for Tech reviews against service standards; security and data governance review classification and residency; shared-collection requests receive additional scrutiny; rejected requests come with explicit guidance.</w:t>
      </w:r>
    </w:p>
    <w:p>
      <w:pPr>
        <w:pStyle w:val="ListParagraph"/>
        <w:numPr>
          <w:ilvl w:val="0"/>
          <w:numId w:val="2"/>
        </w:numPr>
        <w:spacing w:after="30" w:before="30" w:line="290"/>
      </w:pPr>
      <w:r>
        <w:rPr>
          <w:rFonts w:ascii="Calibri" w:cs="Calibri" w:eastAsia="Calibri" w:hAnsi="Calibri"/>
          <w:sz w:val="22"/>
          <w:szCs w:val="22"/>
        </w:rPr>
        <w:t xml:space="preserve">Provisioning — control plane registers the collection contract, instructs the relevant data plane to provision the index, binds entitlement.</w:t>
      </w:r>
    </w:p>
    <w:p>
      <w:pPr>
        <w:pStyle w:val="ListParagraph"/>
        <w:numPr>
          <w:ilvl w:val="0"/>
          <w:numId w:val="2"/>
        </w:numPr>
        <w:spacing w:after="30" w:before="30" w:line="290"/>
      </w:pPr>
      <w:r>
        <w:rPr>
          <w:rFonts w:ascii="Calibri" w:cs="Calibri" w:eastAsia="Calibri" w:hAnsi="Calibri"/>
          <w:sz w:val="22"/>
          <w:szCs w:val="22"/>
        </w:rPr>
        <w:t xml:space="preserve">Operate — tenant ingests under contract; observability streams usage, cost, and retrieval quality back to FinOps and the tenant; lineage is emitted continuously.</w:t>
      </w:r>
    </w:p>
    <w:p>
      <w:pPr>
        <w:pStyle w:val="ListParagraph"/>
        <w:numPr>
          <w:ilvl w:val="0"/>
          <w:numId w:val="2"/>
        </w:numPr>
        <w:spacing w:after="30" w:before="30" w:line="290"/>
      </w:pPr>
      <w:r>
        <w:rPr>
          <w:rFonts w:ascii="Calibri" w:cs="Calibri" w:eastAsia="Calibri" w:hAnsi="Calibri"/>
          <w:sz w:val="22"/>
          <w:szCs w:val="22"/>
        </w:rPr>
        <w:t xml:space="preserve">Evolve — schema changes, embedding-model upgrades, retention changes flow through the contract; the control plane orchestrates re-index when needed.</w:t>
      </w:r>
    </w:p>
    <w:p>
      <w:pPr>
        <w:pStyle w:val="ListParagraph"/>
        <w:numPr>
          <w:ilvl w:val="0"/>
          <w:numId w:val="2"/>
        </w:numPr>
        <w:spacing w:after="30" w:before="30" w:line="290"/>
      </w:pPr>
      <w:r>
        <w:rPr>
          <w:rFonts w:ascii="Calibri" w:cs="Calibri" w:eastAsia="Calibri" w:hAnsi="Calibri"/>
          <w:sz w:val="22"/>
          <w:szCs w:val="22"/>
        </w:rPr>
        <w:t xml:space="preserve">Retire — tenant or owner triggers retirement; the control plane orchestrates purge and emits a closure event.</w:t>
      </w:r>
    </w:p>
    <w:p>
      <w:pPr>
        <w:pStyle w:val="Heading1"/>
        <w:spacing w:after="160" w:before="320"/>
      </w:pPr>
      <w:r>
        <w:rPr>
          <w:rFonts w:ascii="Calibri" w:cs="Calibri" w:eastAsia="Calibri" w:hAnsi="Calibri"/>
          <w:b/>
          <w:bCs/>
          <w:color w:val="1F3A5F"/>
          <w:sz w:val="32"/>
          <w:szCs w:val="32"/>
        </w:rPr>
        <w:t xml:space="preserve">12. Service Contracts and Interfaces</w:t>
      </w:r>
    </w:p>
    <w:p>
      <w:pPr>
        <w:pStyle w:val="Heading2"/>
        <w:spacing w:after="120" w:before="240"/>
      </w:pPr>
      <w:r>
        <w:rPr>
          <w:rFonts w:ascii="Calibri" w:cs="Calibri" w:eastAsia="Calibri" w:hAnsi="Calibri"/>
          <w:b/>
          <w:bCs/>
          <w:color w:val="1F3A5F"/>
          <w:sz w:val="26"/>
          <w:szCs w:val="26"/>
        </w:rPr>
        <w:t xml:space="preserve">12.1 Collection contract (canonical fields)</w:t>
      </w:r>
    </w:p>
    <w:p>
      <w:pPr>
        <w:pStyle w:val="ListParagraph"/>
        <w:numPr>
          <w:ilvl w:val="0"/>
          <w:numId w:val="2"/>
        </w:numPr>
        <w:spacing w:after="30" w:before="30" w:line="290"/>
      </w:pPr>
      <w:r>
        <w:rPr>
          <w:rFonts w:ascii="Calibri" w:cs="Calibri" w:eastAsia="Calibri" w:hAnsi="Calibri"/>
          <w:sz w:val="22"/>
          <w:szCs w:val="22"/>
        </w:rPr>
        <w:t xml:space="preserve">Identity — tenant, collection name, owner, environment.</w:t>
      </w:r>
    </w:p>
    <w:p>
      <w:pPr>
        <w:pStyle w:val="ListParagraph"/>
        <w:numPr>
          <w:ilvl w:val="0"/>
          <w:numId w:val="2"/>
        </w:numPr>
        <w:spacing w:after="30" w:before="30" w:line="290"/>
      </w:pPr>
      <w:r>
        <w:rPr>
          <w:rFonts w:ascii="Calibri" w:cs="Calibri" w:eastAsia="Calibri" w:hAnsi="Calibri"/>
          <w:sz w:val="22"/>
          <w:szCs w:val="22"/>
        </w:rPr>
        <w:t xml:space="preserve">Purpose — use case ID, business owner, intended consumers.</w:t>
      </w:r>
    </w:p>
    <w:p>
      <w:pPr>
        <w:pStyle w:val="ListParagraph"/>
        <w:numPr>
          <w:ilvl w:val="0"/>
          <w:numId w:val="2"/>
        </w:numPr>
        <w:spacing w:after="30" w:before="30" w:line="290"/>
      </w:pPr>
      <w:r>
        <w:rPr>
          <w:rFonts w:ascii="Calibri" w:cs="Calibri" w:eastAsia="Calibri" w:hAnsi="Calibri"/>
          <w:sz w:val="22"/>
          <w:szCs w:val="22"/>
        </w:rPr>
        <w:t xml:space="preserve">Classification ceiling and source-of-truth pointer.</w:t>
      </w:r>
    </w:p>
    <w:p>
      <w:pPr>
        <w:pStyle w:val="ListParagraph"/>
        <w:numPr>
          <w:ilvl w:val="0"/>
          <w:numId w:val="2"/>
        </w:numPr>
        <w:spacing w:after="30" w:before="30" w:line="290"/>
      </w:pPr>
      <w:r>
        <w:rPr>
          <w:rFonts w:ascii="Calibri" w:cs="Calibri" w:eastAsia="Calibri" w:hAnsi="Calibri"/>
          <w:sz w:val="22"/>
          <w:szCs w:val="22"/>
        </w:rPr>
        <w:t xml:space="preserve">Schema — record fields, mandatory metadata (provenance, timestamp, source ID, classification).</w:t>
      </w:r>
    </w:p>
    <w:p>
      <w:pPr>
        <w:pStyle w:val="ListParagraph"/>
        <w:numPr>
          <w:ilvl w:val="0"/>
          <w:numId w:val="2"/>
        </w:numPr>
        <w:spacing w:after="30" w:before="30" w:line="290"/>
      </w:pPr>
      <w:r>
        <w:rPr>
          <w:rFonts w:ascii="Calibri" w:cs="Calibri" w:eastAsia="Calibri" w:hAnsi="Calibri"/>
          <w:sz w:val="22"/>
          <w:szCs w:val="22"/>
        </w:rPr>
        <w:t xml:space="preserve">Embedding model — registered model ID and version.</w:t>
      </w:r>
    </w:p>
    <w:p>
      <w:pPr>
        <w:pStyle w:val="ListParagraph"/>
        <w:numPr>
          <w:ilvl w:val="0"/>
          <w:numId w:val="2"/>
        </w:numPr>
        <w:spacing w:after="30" w:before="30" w:line="290"/>
      </w:pPr>
      <w:r>
        <w:rPr>
          <w:rFonts w:ascii="Calibri" w:cs="Calibri" w:eastAsia="Calibri" w:hAnsi="Calibri"/>
          <w:sz w:val="22"/>
          <w:szCs w:val="22"/>
        </w:rPr>
        <w:t xml:space="preserve">Index strategy — index type, distance metric, hybrid filters.</w:t>
      </w:r>
    </w:p>
    <w:p>
      <w:pPr>
        <w:pStyle w:val="ListParagraph"/>
        <w:numPr>
          <w:ilvl w:val="0"/>
          <w:numId w:val="2"/>
        </w:numPr>
        <w:spacing w:after="30" w:before="30" w:line="290"/>
      </w:pPr>
      <w:r>
        <w:rPr>
          <w:rFonts w:ascii="Calibri" w:cs="Calibri" w:eastAsia="Calibri" w:hAnsi="Calibri"/>
          <w:sz w:val="22"/>
          <w:szCs w:val="22"/>
        </w:rPr>
        <w:t xml:space="preserve">SLA — retrieval latency target, freshness target, availability target.</w:t>
      </w:r>
    </w:p>
    <w:p>
      <w:pPr>
        <w:pStyle w:val="ListParagraph"/>
        <w:numPr>
          <w:ilvl w:val="0"/>
          <w:numId w:val="2"/>
        </w:numPr>
        <w:spacing w:after="30" w:before="30" w:line="290"/>
      </w:pPr>
      <w:r>
        <w:rPr>
          <w:rFonts w:ascii="Calibri" w:cs="Calibri" w:eastAsia="Calibri" w:hAnsi="Calibri"/>
          <w:sz w:val="22"/>
          <w:szCs w:val="22"/>
        </w:rPr>
        <w:t xml:space="preserve">Retrieval quality — baseline relevance target, benchmark set reference, monitoring cadence.</w:t>
      </w:r>
    </w:p>
    <w:p>
      <w:pPr>
        <w:pStyle w:val="ListParagraph"/>
        <w:numPr>
          <w:ilvl w:val="0"/>
          <w:numId w:val="2"/>
        </w:numPr>
        <w:spacing w:after="30" w:before="30" w:line="290"/>
      </w:pPr>
      <w:r>
        <w:rPr>
          <w:rFonts w:ascii="Calibri" w:cs="Calibri" w:eastAsia="Calibri" w:hAnsi="Calibri"/>
          <w:sz w:val="22"/>
          <w:szCs w:val="22"/>
        </w:rPr>
        <w:t xml:space="preserve">Retention and deletion policy.</w:t>
      </w:r>
    </w:p>
    <w:p>
      <w:pPr>
        <w:pStyle w:val="ListParagraph"/>
        <w:numPr>
          <w:ilvl w:val="0"/>
          <w:numId w:val="2"/>
        </w:numPr>
        <w:spacing w:after="30" w:before="30" w:line="290"/>
      </w:pPr>
      <w:r>
        <w:rPr>
          <w:rFonts w:ascii="Calibri" w:cs="Calibri" w:eastAsia="Calibri" w:hAnsi="Calibri"/>
          <w:sz w:val="22"/>
          <w:szCs w:val="22"/>
        </w:rPr>
        <w:t xml:space="preserve">Residency — permitted regions, data plane assignment.</w:t>
      </w:r>
    </w:p>
    <w:p>
      <w:pPr>
        <w:pStyle w:val="ListParagraph"/>
        <w:numPr>
          <w:ilvl w:val="0"/>
          <w:numId w:val="2"/>
        </w:numPr>
        <w:spacing w:after="30" w:before="30" w:line="290"/>
      </w:pPr>
      <w:r>
        <w:rPr>
          <w:rFonts w:ascii="Calibri" w:cs="Calibri" w:eastAsia="Calibri" w:hAnsi="Calibri"/>
          <w:sz w:val="22"/>
          <w:szCs w:val="22"/>
        </w:rPr>
        <w:t xml:space="preserve">Tenancy pattern — collection-per-tenant (default) or shared-collection (exception-based, requires explicit approval).</w:t>
      </w:r>
    </w:p>
    <w:p>
      <w:pPr>
        <w:pStyle w:val="ListParagraph"/>
        <w:numPr>
          <w:ilvl w:val="0"/>
          <w:numId w:val="2"/>
        </w:numPr>
        <w:spacing w:after="30" w:before="30" w:line="290"/>
      </w:pPr>
      <w:r>
        <w:rPr>
          <w:rFonts w:ascii="Calibri" w:cs="Calibri" w:eastAsia="Calibri" w:hAnsi="Calibri"/>
          <w:sz w:val="22"/>
          <w:szCs w:val="22"/>
        </w:rPr>
        <w:t xml:space="preserve">Cost class — used by FinOps for chargeback.</w:t>
      </w:r>
    </w:p>
    <w:p>
      <w:pPr>
        <w:pStyle w:val="ListParagraph"/>
        <w:numPr>
          <w:ilvl w:val="0"/>
          <w:numId w:val="2"/>
        </w:numPr>
        <w:spacing w:after="30" w:before="30" w:line="290"/>
      </w:pPr>
      <w:r>
        <w:rPr>
          <w:rFonts w:ascii="Calibri" w:cs="Calibri" w:eastAsia="Calibri" w:hAnsi="Calibri"/>
          <w:sz w:val="22"/>
          <w:szCs w:val="22"/>
        </w:rPr>
        <w:t xml:space="preserve">Lifecycle — review cadence, deprecation conditions.</w:t>
      </w:r>
    </w:p>
    <w:p>
      <w:pPr>
        <w:pStyle w:val="Heading2"/>
        <w:spacing w:after="120" w:before="240"/>
      </w:pPr>
      <w:r>
        <w:rPr>
          <w:rFonts w:ascii="Calibri" w:cs="Calibri" w:eastAsia="Calibri" w:hAnsi="Calibri"/>
          <w:b/>
          <w:bCs/>
          <w:color w:val="1F3A5F"/>
          <w:sz w:val="26"/>
          <w:szCs w:val="26"/>
        </w:rPr>
        <w:t xml:space="preserve">12.2 Public APIs (logical)</w:t>
      </w:r>
    </w:p>
    <w:p>
      <w:pPr>
        <w:pStyle w:val="ListParagraph"/>
        <w:numPr>
          <w:ilvl w:val="0"/>
          <w:numId w:val="2"/>
        </w:numPr>
        <w:spacing w:after="30" w:before="30" w:line="290"/>
      </w:pPr>
      <w:r>
        <w:rPr>
          <w:rFonts w:ascii="Calibri" w:cs="Calibri" w:eastAsia="Calibri" w:hAnsi="Calibri"/>
          <w:sz w:val="22"/>
          <w:szCs w:val="22"/>
        </w:rPr>
        <w:t xml:space="preserve">Lifecycle (control plane): register / update / retire collection; trigger reindex; rotate embedding model.</w:t>
      </w:r>
    </w:p>
    <w:p>
      <w:pPr>
        <w:pStyle w:val="ListParagraph"/>
        <w:numPr>
          <w:ilvl w:val="0"/>
          <w:numId w:val="2"/>
        </w:numPr>
        <w:spacing w:after="30" w:before="30" w:line="290"/>
      </w:pPr>
      <w:r>
        <w:rPr>
          <w:rFonts w:ascii="Calibri" w:cs="Calibri" w:eastAsia="Calibri" w:hAnsi="Calibri"/>
          <w:sz w:val="22"/>
          <w:szCs w:val="22"/>
        </w:rPr>
        <w:t xml:space="preserve">Ingestion (data plane): upsert / delete records; bulk import from upstream; metadata required.</w:t>
      </w:r>
    </w:p>
    <w:p>
      <w:pPr>
        <w:pStyle w:val="ListParagraph"/>
        <w:numPr>
          <w:ilvl w:val="0"/>
          <w:numId w:val="2"/>
        </w:numPr>
        <w:spacing w:after="30" w:before="30" w:line="290"/>
      </w:pPr>
      <w:r>
        <w:rPr>
          <w:rFonts w:ascii="Calibri" w:cs="Calibri" w:eastAsia="Calibri" w:hAnsi="Calibri"/>
          <w:sz w:val="22"/>
          <w:szCs w:val="22"/>
        </w:rPr>
        <w:t xml:space="preserve">Retrieval (data plane): vector search with filters; hybrid search; provenance always returned.</w:t>
      </w:r>
    </w:p>
    <w:p>
      <w:pPr>
        <w:pStyle w:val="ListParagraph"/>
        <w:numPr>
          <w:ilvl w:val="0"/>
          <w:numId w:val="2"/>
        </w:numPr>
        <w:spacing w:after="30" w:before="30" w:line="290"/>
      </w:pPr>
      <w:r>
        <w:rPr>
          <w:rFonts w:ascii="Calibri" w:cs="Calibri" w:eastAsia="Calibri" w:hAnsi="Calibri"/>
          <w:sz w:val="22"/>
          <w:szCs w:val="22"/>
        </w:rPr>
        <w:t xml:space="preserve">Observability: usage, retrieval quality, and cost metrics endpoints exposed to tenants for their collections only.</w:t>
      </w:r>
    </w:p>
    <w:p>
      <w:pPr>
        <w:pStyle w:val="ListParagraph"/>
        <w:numPr>
          <w:ilvl w:val="0"/>
          <w:numId w:val="2"/>
        </w:numPr>
        <w:spacing w:after="30" w:before="30" w:line="290"/>
      </w:pPr>
      <w:r>
        <w:rPr>
          <w:rFonts w:ascii="Calibri" w:cs="Calibri" w:eastAsia="Calibri" w:hAnsi="Calibri"/>
          <w:sz w:val="22"/>
          <w:szCs w:val="22"/>
        </w:rPr>
        <w:t xml:space="preserve">Catalogue / Fabric: lineage events and product publication interfaces are control-plane-emitted, not tenant-exposed.</w:t>
      </w:r>
    </w:p>
    <w:p>
      <w:pPr>
        <w:pStyle w:val="Heading1"/>
        <w:spacing w:after="160" w:before="320"/>
      </w:pPr>
      <w:r>
        <w:rPr>
          <w:rFonts w:ascii="Calibri" w:cs="Calibri" w:eastAsia="Calibri" w:hAnsi="Calibri"/>
          <w:b/>
          <w:bCs/>
          <w:color w:val="1F3A5F"/>
          <w:sz w:val="32"/>
          <w:szCs w:val="32"/>
        </w:rPr>
        <w:t xml:space="preserve">13. Observability and FinOps</w:t>
      </w:r>
    </w:p>
    <w:p>
      <w:pPr>
        <w:spacing w:after="80" w:before="60" w:line="300"/>
      </w:pPr>
      <w:r>
        <w:rPr>
          <w:rFonts w:ascii="Calibri" w:cs="Calibri" w:eastAsia="Calibri" w:hAnsi="Calibri"/>
          <w:color w:val="222222"/>
          <w:sz w:val="22"/>
          <w:szCs w:val="22"/>
        </w:rPr>
        <w:t xml:space="preserve">If consumption is not measurable, governance is theoretical. Observability and FinOps are first-class capabilities of the service, not afterthoughts.</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tblGrid>
      <w:tr>
        <w:trPr>
          <w:tblHeader/>
        </w:trPr>
        <w:tc>
          <w:tcPr>
            <w:tcW w:type="dxa" w:w="3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Signal</w:t>
            </w:r>
          </w:p>
        </w:tc>
        <w:tc>
          <w:tcPr>
            <w:tcW w:type="dxa" w:w="64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Use</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Usage — calls, records, embeddings produced, bytes stored</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Capacity planning, chargeback, tenant transparency.</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Latency — p50/p95/p99 retrieval, ingestion lag</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SLA monitoring, contract enforcement.</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 quality — sampled relevance, recall at k, baseline compliance</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Drift detection, embedding-model evaluation, tenant quality reporting.</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Cost — embedding inference, storage, compute, egress</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Chargeback, unit-economics tracking, optimisation.</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Governance — un-classified ingestion attempts, blocked retrievals, failed entitlement checks</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Control reporting, audit feed.</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Model governance — versions in use, drift signals, refresh status</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 governance reporting.</w:t>
            </w:r>
          </w:p>
        </w:tc>
      </w:tr>
    </w:tbl>
    <w:tbl>
      <w:tblPr>
        <w:tblW w:type="pct" w:w="100%"/>
        <w:tblBorders>
          <w:top w:val="single" w:color="2E6FA0" w:sz="6"/>
          <w:left w:val="single" w:color="2E6FA0" w:sz="6"/>
          <w:bottom w:val="single" w:color="2E6FA0" w:sz="6"/>
          <w:right w:val="single" w:color="2E6FA0" w:sz="6"/>
          <w:insideH w:val="none" w:color="FFFFFF" w:sz="0"/>
          <w:insideV w:val="none" w:color="FFFFFF" w:sz="0"/>
        </w:tblBorders>
      </w:tblPr>
      <w:tblGrid>
        <w:gridCol w:w="100"/>
      </w:tblGrid>
      <w:tr>
        <w:tc>
          <w:tcPr>
            <w:shd w:fill="F6F8FB" w:color="auto" w:val="clear"/>
            <w:tcMar>
              <w:top w:type="dxa" w:w="120"/>
              <w:left w:type="dxa" w:w="200"/>
              <w:bottom w:type="dxa" w:w="120"/>
              <w:right w:type="dxa" w:w="200"/>
            </w:tcMar>
          </w:tcPr>
          <w:p>
            <w:pPr>
              <w:spacing w:after="40"/>
            </w:pPr>
            <w:r>
              <w:rPr>
                <w:rFonts w:ascii="Calibri" w:cs="Calibri" w:eastAsia="Calibri" w:hAnsi="Calibri"/>
                <w:b/>
                <w:bCs/>
                <w:color w:val="1F3A5F"/>
                <w:sz w:val="22"/>
                <w:szCs w:val="22"/>
              </w:rPr>
              <w:t xml:space="preserve">Chargeback principle:</w:t>
            </w:r>
          </w:p>
          <w:p>
            <w:pPr>
              <w:spacing w:after="0"/>
            </w:pPr>
            <w:r>
              <w:rPr>
                <w:rFonts w:ascii="Calibri" w:cs="Calibri" w:eastAsia="Calibri" w:hAnsi="Calibri"/>
                <w:color w:val="222222"/>
                <w:sz w:val="22"/>
                <w:szCs w:val="22"/>
              </w:rPr>
              <w:t xml:space="preserve">Tenants are charged on a transparent unit basis (per million embeddings, per million queries, per GB stored, per index hour) rather than against opaque infrastructure shares. Costs that are unattributable (control plane operation, embedding registry, lineage publication) are recovered through a service overhead applied proportionately.</w:t>
            </w:r>
          </w:p>
        </w:tc>
      </w:tr>
    </w:tbl>
    <w:p>
      <w:pPr>
        <w:pStyle w:val="Heading1"/>
        <w:spacing w:after="160" w:before="320"/>
      </w:pPr>
      <w:r>
        <w:rPr>
          <w:rFonts w:ascii="Calibri" w:cs="Calibri" w:eastAsia="Calibri" w:hAnsi="Calibri"/>
          <w:b/>
          <w:bCs/>
          <w:color w:val="1F3A5F"/>
          <w:sz w:val="32"/>
          <w:szCs w:val="32"/>
        </w:rPr>
        <w:t xml:space="preserve">14. Adoption Roadmap (indicative)</w:t>
      </w:r>
    </w:p>
    <w:p>
      <w:pPr>
        <w:spacing w:after="80" w:before="60" w:line="300"/>
      </w:pPr>
      <w:r>
        <w:rPr>
          <w:rFonts w:ascii="Calibri" w:cs="Calibri" w:eastAsia="Calibri" w:hAnsi="Calibri"/>
          <w:color w:val="222222"/>
          <w:sz w:val="22"/>
          <w:szCs w:val="22"/>
        </w:rPr>
        <w:t xml:space="preserve">The roadmap below stages capability introduction across phases. No specific timeline is committed at this stage; phase ordering and exit criteria define progression. Sequencing is subject to platform readiness, dependency alignment, working-group endorsement, and funding approval.</w:t>
      </w:r>
    </w:p>
    <w:p>
      <w:pPr>
        <w:spacing w:after="80" w:before="60" w:line="300"/>
      </w:pPr>
      <w:r>
        <w:rPr>
          <w:rFonts w:ascii="Calibri" w:cs="Calibri" w:eastAsia="Calibri" w:hAnsi="Calibri"/>
          <w:color w:val="222222"/>
          <w:sz w:val="22"/>
          <w:szCs w:val="22"/>
        </w:rPr>
        <w:t xml:space="preserve">POCs identified per phase are candidate validation areas, not committed deliveries. They represent where the service is expected to be validated against the prioritised candidates from the Capability Gap Assessment, subject to use-case prioritisation and funding decisions.</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gridCol w:w="100"/>
        <w:gridCol w:w="100"/>
      </w:tblGrid>
      <w:tr>
        <w:trPr>
          <w:tblHeader/>
        </w:trPr>
        <w:tc>
          <w:tcPr>
            <w:tcW w:type="dxa" w:w="15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Phase</w:t>
            </w:r>
          </w:p>
        </w:tc>
        <w:tc>
          <w:tcPr>
            <w:tcW w:type="dxa" w:w="3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Outcomes</w:t>
            </w:r>
          </w:p>
        </w:tc>
        <w:tc>
          <w:tcPr>
            <w:tcW w:type="dxa" w:w="29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Exit criteria</w:t>
            </w:r>
          </w:p>
        </w:tc>
        <w:tc>
          <w:tcPr>
            <w:tcW w:type="dxa" w:w="2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Candidate POC validation</w:t>
            </w:r>
          </w:p>
        </w:tc>
      </w:tr>
      <w:tr>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P0 — Foundation</w:t>
            </w:r>
          </w:p>
        </w:tc>
        <w:tc>
          <w:tcPr>
            <w:tcW w:type="dxa" w:w="3000"/>
            <w:tcMar>
              <w:top w:type="dxa" w:w="100"/>
              <w:left w:type="dxa" w:w="120"/>
              <w:bottom w:type="dxa" w:w="100"/>
              <w:right w:type="dxa" w:w="120"/>
            </w:tcMar>
          </w:tcPr>
          <w:p>
            <w:pPr>
              <w:spacing w:after="20" w:before="0" w:line="280"/>
            </w:pPr>
            <w:r>
              <w:rPr>
                <w:rFonts w:ascii="Calibri" w:cs="Calibri" w:eastAsia="Calibri" w:hAnsi="Calibri"/>
                <w:sz w:val="20"/>
                <w:szCs w:val="20"/>
              </w:rPr>
              <w:t xml:space="preserve">• Service charter approved</w:t>
            </w:r>
          </w:p>
          <w:p>
            <w:pPr>
              <w:spacing w:after="20" w:before="20" w:line="280"/>
            </w:pPr>
            <w:r>
              <w:rPr>
                <w:rFonts w:ascii="Calibri" w:cs="Calibri" w:eastAsia="Calibri" w:hAnsi="Calibri"/>
                <w:sz w:val="20"/>
                <w:szCs w:val="20"/>
              </w:rPr>
              <w:t xml:space="preserve">• Initial control-plane skeleton</w:t>
            </w:r>
          </w:p>
          <w:p>
            <w:pPr>
              <w:spacing w:after="20" w:before="20" w:line="280"/>
            </w:pPr>
            <w:r>
              <w:rPr>
                <w:rFonts w:ascii="Calibri" w:cs="Calibri" w:eastAsia="Calibri" w:hAnsi="Calibri"/>
                <w:sz w:val="20"/>
                <w:szCs w:val="20"/>
              </w:rPr>
              <w:t xml:space="preserve">• Embedding-model registry seeded with one approved model</w:t>
            </w:r>
          </w:p>
        </w:tc>
        <w:tc>
          <w:tcPr>
            <w:tcW w:type="dxa" w:w="2900"/>
            <w:tcMar>
              <w:top w:type="dxa" w:w="100"/>
              <w:left w:type="dxa" w:w="120"/>
              <w:bottom w:type="dxa" w:w="100"/>
              <w:right w:type="dxa" w:w="120"/>
            </w:tcMar>
          </w:tcPr>
          <w:p>
            <w:pPr>
              <w:spacing w:after="20" w:before="0" w:line="280"/>
            </w:pPr>
            <w:r>
              <w:rPr>
                <w:rFonts w:ascii="Calibri" w:cs="Calibri" w:eastAsia="Calibri" w:hAnsi="Calibri"/>
                <w:sz w:val="20"/>
                <w:szCs w:val="20"/>
              </w:rPr>
              <w:t xml:space="preserve">• Charter endorsed by working group</w:t>
            </w:r>
          </w:p>
          <w:p>
            <w:pPr>
              <w:spacing w:after="20" w:before="20" w:line="280"/>
            </w:pPr>
            <w:r>
              <w:rPr>
                <w:rFonts w:ascii="Calibri" w:cs="Calibri" w:eastAsia="Calibri" w:hAnsi="Calibri"/>
                <w:sz w:val="20"/>
                <w:szCs w:val="20"/>
              </w:rPr>
              <w:t xml:space="preserve">• Registry holds at least one approved model with policy attached</w:t>
            </w:r>
          </w:p>
          <w:p>
            <w:pPr>
              <w:spacing w:after="20" w:before="20" w:line="280"/>
            </w:pPr>
            <w:r>
              <w:rPr>
                <w:rFonts w:ascii="Calibri" w:cs="Calibri" w:eastAsia="Calibri" w:hAnsi="Calibri"/>
                <w:sz w:val="20"/>
                <w:szCs w:val="20"/>
              </w:rPr>
              <w:t xml:space="preserve">• First reference data plane identified</w:t>
            </w:r>
          </w:p>
        </w:tc>
        <w:tc>
          <w:tcPr>
            <w:tcW w:type="dxa" w:w="2000"/>
            <w:tcMar>
              <w:top w:type="dxa" w:w="100"/>
              <w:left w:type="dxa" w:w="120"/>
              <w:bottom w:type="dxa" w:w="100"/>
              <w:right w:type="dxa" w:w="120"/>
            </w:tcMar>
          </w:tcPr>
          <w:p>
            <w:pPr>
              <w:spacing w:after="20" w:before="0" w:line="280"/>
            </w:pPr>
            <w:r>
              <w:rPr>
                <w:rFonts w:ascii="Calibri" w:cs="Calibri" w:eastAsia="Calibri" w:hAnsi="Calibri"/>
                <w:sz w:val="20"/>
                <w:szCs w:val="20"/>
              </w:rPr>
              <w:t xml:space="preserve">• —</w:t>
            </w:r>
          </w:p>
        </w:tc>
      </w:tr>
      <w:tr>
        <w:tc>
          <w:tcPr>
            <w:tcW w:type="dxa" w:w="1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P1 — Reference data plane</w:t>
            </w:r>
          </w:p>
        </w:tc>
        <w:tc>
          <w:tcPr>
            <w:tcW w:type="dxa" w:w="3000"/>
            <w:tcMar>
              <w:top w:type="dxa" w:w="100"/>
              <w:left w:type="dxa" w:w="120"/>
              <w:bottom w:type="dxa" w:w="100"/>
              <w:right w:type="dxa" w:w="120"/>
            </w:tcMar>
          </w:tcPr>
          <w:p>
            <w:pPr>
              <w:spacing w:after="20" w:before="0" w:line="280"/>
            </w:pPr>
            <w:r>
              <w:rPr>
                <w:rFonts w:ascii="Calibri" w:cs="Calibri" w:eastAsia="Calibri" w:hAnsi="Calibri"/>
                <w:sz w:val="20"/>
                <w:szCs w:val="20"/>
              </w:rPr>
              <w:t xml:space="preserve">• Control plane v1 operational</w:t>
            </w:r>
          </w:p>
          <w:p>
            <w:pPr>
              <w:spacing w:after="20" w:before="20" w:line="280"/>
            </w:pPr>
            <w:r>
              <w:rPr>
                <w:rFonts w:ascii="Calibri" w:cs="Calibri" w:eastAsia="Calibri" w:hAnsi="Calibri"/>
                <w:sz w:val="20"/>
                <w:szCs w:val="20"/>
              </w:rPr>
              <w:t xml:space="preserve">• One reference data plane on one data platform</w:t>
            </w:r>
          </w:p>
          <w:p>
            <w:pPr>
              <w:spacing w:after="20" w:before="20" w:line="280"/>
            </w:pPr>
            <w:r>
              <w:rPr>
                <w:rFonts w:ascii="Calibri" w:cs="Calibri" w:eastAsia="Calibri" w:hAnsi="Calibri"/>
                <w:sz w:val="20"/>
                <w:szCs w:val="20"/>
              </w:rPr>
              <w:t xml:space="preserve">• First tenant onboarded under contract</w:t>
            </w:r>
          </w:p>
          <w:p>
            <w:pPr>
              <w:spacing w:after="20" w:before="20" w:line="280"/>
            </w:pPr>
            <w:r>
              <w:rPr>
                <w:rFonts w:ascii="Calibri" w:cs="Calibri" w:eastAsia="Calibri" w:hAnsi="Calibri"/>
                <w:sz w:val="20"/>
                <w:szCs w:val="20"/>
              </w:rPr>
              <w:t xml:space="preserve">• Lineage publishing to enterprise catalogue</w:t>
            </w:r>
          </w:p>
        </w:tc>
        <w:tc>
          <w:tcPr>
            <w:tcW w:type="dxa" w:w="2900"/>
            <w:tcMar>
              <w:top w:type="dxa" w:w="100"/>
              <w:left w:type="dxa" w:w="120"/>
              <w:bottom w:type="dxa" w:w="100"/>
              <w:right w:type="dxa" w:w="120"/>
            </w:tcMar>
          </w:tcPr>
          <w:p>
            <w:pPr>
              <w:spacing w:after="20" w:before="0" w:line="280"/>
            </w:pPr>
            <w:r>
              <w:rPr>
                <w:rFonts w:ascii="Calibri" w:cs="Calibri" w:eastAsia="Calibri" w:hAnsi="Calibri"/>
                <w:sz w:val="20"/>
                <w:szCs w:val="20"/>
              </w:rPr>
              <w:t xml:space="preserve">• End-to-end ingest, embed (via MCP), retrieve flow live</w:t>
            </w:r>
          </w:p>
          <w:p>
            <w:pPr>
              <w:spacing w:after="20" w:before="20" w:line="280"/>
            </w:pPr>
            <w:r>
              <w:rPr>
                <w:rFonts w:ascii="Calibri" w:cs="Calibri" w:eastAsia="Calibri" w:hAnsi="Calibri"/>
                <w:sz w:val="20"/>
                <w:szCs w:val="20"/>
              </w:rPr>
              <w:t xml:space="preserve">• Classification gate active; un-classified records rejected</w:t>
            </w:r>
          </w:p>
          <w:p>
            <w:pPr>
              <w:spacing w:after="20" w:before="20" w:line="280"/>
            </w:pPr>
            <w:r>
              <w:rPr>
                <w:rFonts w:ascii="Calibri" w:cs="Calibri" w:eastAsia="Calibri" w:hAnsi="Calibri"/>
                <w:sz w:val="20"/>
                <w:szCs w:val="20"/>
              </w:rPr>
              <w:t xml:space="preserve">• Lineage events visible in catalogue</w:t>
            </w:r>
          </w:p>
        </w:tc>
        <w:tc>
          <w:tcPr>
            <w:tcW w:type="dxa" w:w="2000"/>
            <w:tcMar>
              <w:top w:type="dxa" w:w="100"/>
              <w:left w:type="dxa" w:w="120"/>
              <w:bottom w:type="dxa" w:w="100"/>
              <w:right w:type="dxa" w:w="120"/>
            </w:tcMar>
          </w:tcPr>
          <w:p>
            <w:pPr>
              <w:spacing w:after="20" w:before="0" w:line="280"/>
            </w:pPr>
            <w:r>
              <w:rPr>
                <w:rFonts w:ascii="Calibri" w:cs="Calibri" w:eastAsia="Calibri" w:hAnsi="Calibri"/>
                <w:sz w:val="20"/>
                <w:szCs w:val="20"/>
              </w:rPr>
              <w:t xml:space="preserve">• Candidate POC: Codifying-the-Bank retrieval</w:t>
            </w:r>
          </w:p>
        </w:tc>
      </w:tr>
      <w:tr>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P2 — Multi-tenant + governance hardening</w:t>
            </w:r>
          </w:p>
        </w:tc>
        <w:tc>
          <w:tcPr>
            <w:tcW w:type="dxa" w:w="3000"/>
            <w:tcMar>
              <w:top w:type="dxa" w:w="100"/>
              <w:left w:type="dxa" w:w="120"/>
              <w:bottom w:type="dxa" w:w="100"/>
              <w:right w:type="dxa" w:w="120"/>
            </w:tcMar>
          </w:tcPr>
          <w:p>
            <w:pPr>
              <w:spacing w:after="20" w:before="0" w:line="280"/>
            </w:pPr>
            <w:r>
              <w:rPr>
                <w:rFonts w:ascii="Calibri" w:cs="Calibri" w:eastAsia="Calibri" w:hAnsi="Calibri"/>
                <w:sz w:val="20"/>
                <w:szCs w:val="20"/>
              </w:rPr>
              <w:t xml:space="preserve">• Three to five tenants onboarded</w:t>
            </w:r>
          </w:p>
          <w:p>
            <w:pPr>
              <w:spacing w:after="20" w:before="20" w:line="280"/>
            </w:pPr>
            <w:r>
              <w:rPr>
                <w:rFonts w:ascii="Calibri" w:cs="Calibri" w:eastAsia="Calibri" w:hAnsi="Calibri"/>
                <w:sz w:val="20"/>
                <w:szCs w:val="20"/>
              </w:rPr>
              <w:t xml:space="preserve">• Runtime entitlement enforced at every retrieval call</w:t>
            </w:r>
          </w:p>
          <w:p>
            <w:pPr>
              <w:spacing w:after="20" w:before="20" w:line="280"/>
            </w:pPr>
            <w:r>
              <w:rPr>
                <w:rFonts w:ascii="Calibri" w:cs="Calibri" w:eastAsia="Calibri" w:hAnsi="Calibri"/>
                <w:sz w:val="20"/>
                <w:szCs w:val="20"/>
              </w:rPr>
              <w:t xml:space="preserve">• FinOps signals first-class; chargeback dry-run</w:t>
            </w:r>
          </w:p>
          <w:p>
            <w:pPr>
              <w:spacing w:after="20" w:before="20" w:line="280"/>
            </w:pPr>
            <w:r>
              <w:rPr>
                <w:rFonts w:ascii="Calibri" w:cs="Calibri" w:eastAsia="Calibri" w:hAnsi="Calibri"/>
                <w:sz w:val="20"/>
                <w:szCs w:val="20"/>
              </w:rPr>
              <w:t xml:space="preserve">• Embedding-model refresh exercised end-to-end</w:t>
            </w:r>
          </w:p>
          <w:p>
            <w:pPr>
              <w:spacing w:after="20" w:before="20" w:line="280"/>
            </w:pPr>
            <w:r>
              <w:rPr>
                <w:rFonts w:ascii="Calibri" w:cs="Calibri" w:eastAsia="Calibri" w:hAnsi="Calibri"/>
                <w:sz w:val="20"/>
                <w:szCs w:val="20"/>
              </w:rPr>
              <w:t xml:space="preserve">• Retrieval quality baselines established for onboarded tenants</w:t>
            </w:r>
          </w:p>
        </w:tc>
        <w:tc>
          <w:tcPr>
            <w:tcW w:type="dxa" w:w="2900"/>
            <w:tcMar>
              <w:top w:type="dxa" w:w="100"/>
              <w:left w:type="dxa" w:w="120"/>
              <w:bottom w:type="dxa" w:w="100"/>
              <w:right w:type="dxa" w:w="120"/>
            </w:tcMar>
          </w:tcPr>
          <w:p>
            <w:pPr>
              <w:spacing w:after="20" w:before="0" w:line="280"/>
            </w:pPr>
            <w:r>
              <w:rPr>
                <w:rFonts w:ascii="Calibri" w:cs="Calibri" w:eastAsia="Calibri" w:hAnsi="Calibri"/>
                <w:sz w:val="20"/>
                <w:szCs w:val="20"/>
              </w:rPr>
              <w:t xml:space="preserve">• No tenant in production without a contract</w:t>
            </w:r>
          </w:p>
          <w:p>
            <w:pPr>
              <w:spacing w:after="20" w:before="20" w:line="280"/>
            </w:pPr>
            <w:r>
              <w:rPr>
                <w:rFonts w:ascii="Calibri" w:cs="Calibri" w:eastAsia="Calibri" w:hAnsi="Calibri"/>
                <w:sz w:val="20"/>
                <w:szCs w:val="20"/>
              </w:rPr>
              <w:t xml:space="preserve">• First chargeback report produced</w:t>
            </w:r>
          </w:p>
          <w:p>
            <w:pPr>
              <w:spacing w:after="20" w:before="20" w:line="280"/>
            </w:pPr>
            <w:r>
              <w:rPr>
                <w:rFonts w:ascii="Calibri" w:cs="Calibri" w:eastAsia="Calibri" w:hAnsi="Calibri"/>
                <w:sz w:val="20"/>
                <w:szCs w:val="20"/>
              </w:rPr>
              <w:t xml:space="preserve">• First embedding-model upgrade orchestrated without tenant outage</w:t>
            </w:r>
          </w:p>
          <w:p>
            <w:pPr>
              <w:spacing w:after="20" w:before="20" w:line="280"/>
            </w:pPr>
            <w:r>
              <w:rPr>
                <w:rFonts w:ascii="Calibri" w:cs="Calibri" w:eastAsia="Calibri" w:hAnsi="Calibri"/>
                <w:sz w:val="20"/>
                <w:szCs w:val="20"/>
              </w:rPr>
              <w:t xml:space="preserve">• Retrieval quality baselines met for onboarded collections</w:t>
            </w:r>
          </w:p>
        </w:tc>
        <w:tc>
          <w:tcPr>
            <w:tcW w:type="dxa" w:w="2000"/>
            <w:tcMar>
              <w:top w:type="dxa" w:w="100"/>
              <w:left w:type="dxa" w:w="120"/>
              <w:bottom w:type="dxa" w:w="100"/>
              <w:right w:type="dxa" w:w="120"/>
            </w:tcMar>
          </w:tcPr>
          <w:p>
            <w:pPr>
              <w:spacing w:after="20" w:before="0" w:line="280"/>
            </w:pPr>
            <w:r>
              <w:rPr>
                <w:rFonts w:ascii="Calibri" w:cs="Calibri" w:eastAsia="Calibri" w:hAnsi="Calibri"/>
                <w:sz w:val="20"/>
                <w:szCs w:val="20"/>
              </w:rPr>
              <w:t xml:space="preserve">• Candidate POC: Voice / Audio retrieval</w:t>
            </w:r>
          </w:p>
          <w:p>
            <w:pPr>
              <w:spacing w:after="20" w:before="20" w:line="280"/>
            </w:pPr>
            <w:r>
              <w:rPr>
                <w:rFonts w:ascii="Calibri" w:cs="Calibri" w:eastAsia="Calibri" w:hAnsi="Calibri"/>
                <w:sz w:val="20"/>
                <w:szCs w:val="20"/>
              </w:rPr>
              <w:t xml:space="preserve">• Candidate POC: KMS retrieval</w:t>
            </w:r>
          </w:p>
        </w:tc>
      </w:tr>
      <w:tr>
        <w:tc>
          <w:tcPr>
            <w:tcW w:type="dxa" w:w="1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P3 — Federation across data planes</w:t>
            </w:r>
          </w:p>
        </w:tc>
        <w:tc>
          <w:tcPr>
            <w:tcW w:type="dxa" w:w="3000"/>
            <w:tcMar>
              <w:top w:type="dxa" w:w="100"/>
              <w:left w:type="dxa" w:w="120"/>
              <w:bottom w:type="dxa" w:w="100"/>
              <w:right w:type="dxa" w:w="120"/>
            </w:tcMar>
          </w:tcPr>
          <w:p>
            <w:pPr>
              <w:spacing w:after="20" w:before="0" w:line="280"/>
            </w:pPr>
            <w:r>
              <w:rPr>
                <w:rFonts w:ascii="Calibri" w:cs="Calibri" w:eastAsia="Calibri" w:hAnsi="Calibri"/>
                <w:sz w:val="20"/>
                <w:szCs w:val="20"/>
              </w:rPr>
              <w:t xml:space="preserve">• Second and third data planes live in additional platforms / regions</w:t>
            </w:r>
          </w:p>
          <w:p>
            <w:pPr>
              <w:spacing w:after="20" w:before="20" w:line="280"/>
            </w:pPr>
            <w:r>
              <w:rPr>
                <w:rFonts w:ascii="Calibri" w:cs="Calibri" w:eastAsia="Calibri" w:hAnsi="Calibri"/>
                <w:sz w:val="20"/>
                <w:szCs w:val="20"/>
              </w:rPr>
              <w:t xml:space="preserve">• Cross-plane retrieval orchestration via access layer</w:t>
            </w:r>
          </w:p>
          <w:p>
            <w:pPr>
              <w:spacing w:after="20" w:before="20" w:line="280"/>
            </w:pPr>
            <w:r>
              <w:rPr>
                <w:rFonts w:ascii="Calibri" w:cs="Calibri" w:eastAsia="Calibri" w:hAnsi="Calibri"/>
                <w:sz w:val="20"/>
                <w:szCs w:val="20"/>
              </w:rPr>
              <w:t xml:space="preserve">• Residency policies enforced per plane</w:t>
            </w:r>
          </w:p>
        </w:tc>
        <w:tc>
          <w:tcPr>
            <w:tcW w:type="dxa" w:w="2900"/>
            <w:tcMar>
              <w:top w:type="dxa" w:w="100"/>
              <w:left w:type="dxa" w:w="120"/>
              <w:bottom w:type="dxa" w:w="100"/>
              <w:right w:type="dxa" w:w="120"/>
            </w:tcMar>
          </w:tcPr>
          <w:p>
            <w:pPr>
              <w:spacing w:after="20" w:before="0" w:line="280"/>
            </w:pPr>
            <w:r>
              <w:rPr>
                <w:rFonts w:ascii="Calibri" w:cs="Calibri" w:eastAsia="Calibri" w:hAnsi="Calibri"/>
                <w:sz w:val="20"/>
                <w:szCs w:val="20"/>
              </w:rPr>
              <w:t xml:space="preserve">• Multi-platform consumers can access governed collections in their region</w:t>
            </w:r>
          </w:p>
          <w:p>
            <w:pPr>
              <w:spacing w:after="20" w:before="20" w:line="280"/>
            </w:pPr>
            <w:r>
              <w:rPr>
                <w:rFonts w:ascii="Calibri" w:cs="Calibri" w:eastAsia="Calibri" w:hAnsi="Calibri"/>
                <w:sz w:val="20"/>
                <w:szCs w:val="20"/>
              </w:rPr>
              <w:t xml:space="preserve">• No cross-region vector replication; cross-region retrieval audited</w:t>
            </w:r>
          </w:p>
        </w:tc>
        <w:tc>
          <w:tcPr>
            <w:tcW w:type="dxa" w:w="2000"/>
            <w:tcMar>
              <w:top w:type="dxa" w:w="100"/>
              <w:left w:type="dxa" w:w="120"/>
              <w:bottom w:type="dxa" w:w="100"/>
              <w:right w:type="dxa" w:w="120"/>
            </w:tcMar>
          </w:tcPr>
          <w:p>
            <w:pPr>
              <w:spacing w:after="20" w:before="0" w:line="280"/>
            </w:pPr>
            <w:r>
              <w:rPr>
                <w:rFonts w:ascii="Calibri" w:cs="Calibri" w:eastAsia="Calibri" w:hAnsi="Calibri"/>
                <w:sz w:val="20"/>
                <w:szCs w:val="20"/>
              </w:rPr>
              <w:t xml:space="preserve">• Candidate POC: Cross-platform retrieval</w:t>
            </w:r>
          </w:p>
        </w:tc>
      </w:tr>
      <w:tr>
        <w:tc>
          <w:tcPr>
            <w:tcW w:type="dxa" w:w="1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P4 — Fabric publication of semantic products</w:t>
            </w:r>
          </w:p>
        </w:tc>
        <w:tc>
          <w:tcPr>
            <w:tcW w:type="dxa" w:w="3000"/>
            <w:tcMar>
              <w:top w:type="dxa" w:w="100"/>
              <w:left w:type="dxa" w:w="120"/>
              <w:bottom w:type="dxa" w:w="100"/>
              <w:right w:type="dxa" w:w="120"/>
            </w:tcMar>
          </w:tcPr>
          <w:p>
            <w:pPr>
              <w:spacing w:after="20" w:before="0" w:line="280"/>
            </w:pPr>
            <w:r>
              <w:rPr>
                <w:rFonts w:ascii="Calibri" w:cs="Calibri" w:eastAsia="Calibri" w:hAnsi="Calibri"/>
                <w:sz w:val="20"/>
                <w:szCs w:val="20"/>
              </w:rPr>
              <w:t xml:space="preserve">• Curated collections published as Fabric semantic and vector-derived data products</w:t>
            </w:r>
          </w:p>
          <w:p>
            <w:pPr>
              <w:spacing w:after="20" w:before="20" w:line="280"/>
            </w:pPr>
            <w:r>
              <w:rPr>
                <w:rFonts w:ascii="Calibri" w:cs="Calibri" w:eastAsia="Calibri" w:hAnsi="Calibri"/>
                <w:sz w:val="20"/>
                <w:szCs w:val="20"/>
              </w:rPr>
              <w:t xml:space="preserve">• Federated analytical and BI consumption live</w:t>
            </w:r>
          </w:p>
          <w:p>
            <w:pPr>
              <w:spacing w:after="20" w:before="20" w:line="280"/>
            </w:pPr>
            <w:r>
              <w:rPr>
                <w:rFonts w:ascii="Calibri" w:cs="Calibri" w:eastAsia="Calibri" w:hAnsi="Calibri"/>
                <w:sz w:val="20"/>
                <w:szCs w:val="20"/>
              </w:rPr>
              <w:t xml:space="preserve">• Catalogue marketplace integration</w:t>
            </w:r>
          </w:p>
        </w:tc>
        <w:tc>
          <w:tcPr>
            <w:tcW w:type="dxa" w:w="2900"/>
            <w:tcMar>
              <w:top w:type="dxa" w:w="100"/>
              <w:left w:type="dxa" w:w="120"/>
              <w:bottom w:type="dxa" w:w="100"/>
              <w:right w:type="dxa" w:w="120"/>
            </w:tcMar>
          </w:tcPr>
          <w:p>
            <w:pPr>
              <w:spacing w:after="20" w:before="0" w:line="280"/>
            </w:pPr>
            <w:r>
              <w:rPr>
                <w:rFonts w:ascii="Calibri" w:cs="Calibri" w:eastAsia="Calibri" w:hAnsi="Calibri"/>
                <w:sz w:val="20"/>
                <w:szCs w:val="20"/>
              </w:rPr>
              <w:t xml:space="preserve">• At least one Fabric semantic product consumed by a non-AI workload under data product contract</w:t>
            </w:r>
          </w:p>
          <w:p>
            <w:pPr>
              <w:spacing w:after="20" w:before="20" w:line="280"/>
            </w:pPr>
            <w:r>
              <w:rPr>
                <w:rFonts w:ascii="Calibri" w:cs="Calibri" w:eastAsia="Calibri" w:hAnsi="Calibri"/>
                <w:sz w:val="20"/>
                <w:szCs w:val="20"/>
              </w:rPr>
              <w:t xml:space="preserve">• Publication and refresh contracts measurable</w:t>
            </w:r>
          </w:p>
        </w:tc>
        <w:tc>
          <w:tcPr>
            <w:tcW w:type="dxa" w:w="2000"/>
            <w:tcMar>
              <w:top w:type="dxa" w:w="100"/>
              <w:left w:type="dxa" w:w="120"/>
              <w:bottom w:type="dxa" w:w="100"/>
              <w:right w:type="dxa" w:w="120"/>
            </w:tcMar>
          </w:tcPr>
          <w:p>
            <w:pPr>
              <w:spacing w:after="20" w:before="0" w:line="280"/>
            </w:pPr>
            <w:r>
              <w:rPr>
                <w:rFonts w:ascii="Calibri" w:cs="Calibri" w:eastAsia="Calibri" w:hAnsi="Calibri"/>
                <w:sz w:val="20"/>
                <w:szCs w:val="20"/>
              </w:rPr>
              <w:t xml:space="preserve">• Candidate POC: Fabric semantic product</w:t>
            </w:r>
          </w:p>
        </w:tc>
      </w:tr>
      <w:tr>
        <w:tc>
          <w:tcPr>
            <w:tcW w:type="dxa" w:w="1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P5 — Steady state and scale</w:t>
            </w:r>
          </w:p>
        </w:tc>
        <w:tc>
          <w:tcPr>
            <w:tcW w:type="dxa" w:w="3000"/>
            <w:tcMar>
              <w:top w:type="dxa" w:w="100"/>
              <w:left w:type="dxa" w:w="120"/>
              <w:bottom w:type="dxa" w:w="100"/>
              <w:right w:type="dxa" w:w="120"/>
            </w:tcMar>
          </w:tcPr>
          <w:p>
            <w:pPr>
              <w:spacing w:after="20" w:before="0" w:line="280"/>
            </w:pPr>
            <w:r>
              <w:rPr>
                <w:rFonts w:ascii="Calibri" w:cs="Calibri" w:eastAsia="Calibri" w:hAnsi="Calibri"/>
                <w:sz w:val="20"/>
                <w:szCs w:val="20"/>
              </w:rPr>
              <w:t xml:space="preserve">• Service operates under SLAs and chargeback</w:t>
            </w:r>
          </w:p>
          <w:p>
            <w:pPr>
              <w:spacing w:after="20" w:before="20" w:line="280"/>
            </w:pPr>
            <w:r>
              <w:rPr>
                <w:rFonts w:ascii="Calibri" w:cs="Calibri" w:eastAsia="Calibri" w:hAnsi="Calibri"/>
                <w:sz w:val="20"/>
                <w:szCs w:val="20"/>
              </w:rPr>
              <w:t xml:space="preserve">• Continuous embedding-model surveillance and refresh</w:t>
            </w:r>
          </w:p>
          <w:p>
            <w:pPr>
              <w:spacing w:after="20" w:before="20" w:line="280"/>
            </w:pPr>
            <w:r>
              <w:rPr>
                <w:rFonts w:ascii="Calibri" w:cs="Calibri" w:eastAsia="Calibri" w:hAnsi="Calibri"/>
                <w:sz w:val="20"/>
                <w:szCs w:val="20"/>
              </w:rPr>
              <w:t xml:space="preserve">• New tenants onboarded under standard intake</w:t>
            </w:r>
          </w:p>
        </w:tc>
        <w:tc>
          <w:tcPr>
            <w:tcW w:type="dxa" w:w="2900"/>
            <w:tcMar>
              <w:top w:type="dxa" w:w="100"/>
              <w:left w:type="dxa" w:w="120"/>
              <w:bottom w:type="dxa" w:w="100"/>
              <w:right w:type="dxa" w:w="120"/>
            </w:tcMar>
          </w:tcPr>
          <w:p>
            <w:pPr>
              <w:spacing w:after="20" w:before="0" w:line="280"/>
            </w:pPr>
            <w:r>
              <w:rPr>
                <w:rFonts w:ascii="Calibri" w:cs="Calibri" w:eastAsia="Calibri" w:hAnsi="Calibri"/>
                <w:sz w:val="20"/>
                <w:szCs w:val="20"/>
              </w:rPr>
              <w:t xml:space="preserve">• SLA reporting public to tenants</w:t>
            </w:r>
          </w:p>
          <w:p>
            <w:pPr>
              <w:spacing w:after="20" w:before="20" w:line="280"/>
            </w:pPr>
            <w:r>
              <w:rPr>
                <w:rFonts w:ascii="Calibri" w:cs="Calibri" w:eastAsia="Calibri" w:hAnsi="Calibri"/>
                <w:sz w:val="20"/>
                <w:szCs w:val="20"/>
              </w:rPr>
              <w:t xml:space="preserve">• Chargeback live and reconciled</w:t>
            </w:r>
          </w:p>
          <w:p>
            <w:pPr>
              <w:spacing w:after="20" w:before="20" w:line="280"/>
            </w:pPr>
            <w:r>
              <w:rPr>
                <w:rFonts w:ascii="Calibri" w:cs="Calibri" w:eastAsia="Calibri" w:hAnsi="Calibri"/>
                <w:sz w:val="20"/>
                <w:szCs w:val="20"/>
              </w:rPr>
              <w:t xml:space="preserve">• Tenant intake median lead time within target</w:t>
            </w:r>
          </w:p>
        </w:tc>
        <w:tc>
          <w:tcPr>
            <w:tcW w:type="dxa" w:w="2000"/>
            <w:tcMar>
              <w:top w:type="dxa" w:w="100"/>
              <w:left w:type="dxa" w:w="120"/>
              <w:bottom w:type="dxa" w:w="100"/>
              <w:right w:type="dxa" w:w="120"/>
            </w:tcMar>
          </w:tcPr>
          <w:p>
            <w:pPr>
              <w:spacing w:after="20" w:before="0" w:line="280"/>
            </w:pPr>
            <w:r>
              <w:rPr>
                <w:rFonts w:ascii="Calibri" w:cs="Calibri" w:eastAsia="Calibri" w:hAnsi="Calibri"/>
                <w:sz w:val="20"/>
                <w:szCs w:val="20"/>
              </w:rPr>
              <w:t xml:space="preserve">• Candidate POC: Knowledge graph augmentation</w:t>
            </w:r>
          </w:p>
          <w:p>
            <w:pPr>
              <w:spacing w:after="20" w:before="20" w:line="280"/>
            </w:pPr>
            <w:r>
              <w:rPr>
                <w:rFonts w:ascii="Calibri" w:cs="Calibri" w:eastAsia="Calibri" w:hAnsi="Calibri"/>
                <w:sz w:val="20"/>
                <w:szCs w:val="20"/>
              </w:rPr>
              <w:t xml:space="preserve">• Candidate POC: Agentic retrieval</w:t>
            </w:r>
          </w:p>
        </w:tc>
      </w:tr>
    </w:tbl>
    <w:tbl>
      <w:tblPr>
        <w:tblW w:type="pct" w:w="100%"/>
        <w:tblBorders>
          <w:top w:val="single" w:color="2E6FA0" w:sz="6"/>
          <w:left w:val="single" w:color="2E6FA0" w:sz="6"/>
          <w:bottom w:val="single" w:color="2E6FA0" w:sz="6"/>
          <w:right w:val="single" w:color="2E6FA0" w:sz="6"/>
          <w:insideH w:val="none" w:color="FFFFFF" w:sz="0"/>
          <w:insideV w:val="none" w:color="FFFFFF" w:sz="0"/>
        </w:tblBorders>
      </w:tblPr>
      <w:tblGrid>
        <w:gridCol w:w="100"/>
      </w:tblGrid>
      <w:tr>
        <w:tc>
          <w:tcPr>
            <w:shd w:fill="F6F8FB" w:color="auto" w:val="clear"/>
            <w:tcMar>
              <w:top w:type="dxa" w:w="120"/>
              <w:left w:type="dxa" w:w="200"/>
              <w:bottom w:type="dxa" w:w="120"/>
              <w:right w:type="dxa" w:w="200"/>
            </w:tcMar>
          </w:tcPr>
          <w:p>
            <w:pPr>
              <w:spacing w:after="40"/>
            </w:pPr>
            <w:r>
              <w:rPr>
                <w:rFonts w:ascii="Calibri" w:cs="Calibri" w:eastAsia="Calibri" w:hAnsi="Calibri"/>
                <w:b/>
                <w:bCs/>
                <w:color w:val="1F3A5F"/>
                <w:sz w:val="22"/>
                <w:szCs w:val="22"/>
              </w:rPr>
              <w:t xml:space="preserve">Phased sequencing — not a delivery commitment:</w:t>
            </w:r>
          </w:p>
          <w:p>
            <w:pPr>
              <w:spacing w:after="0"/>
            </w:pPr>
            <w:r>
              <w:rPr>
                <w:rFonts w:ascii="Calibri" w:cs="Calibri" w:eastAsia="Calibri" w:hAnsi="Calibri"/>
                <w:color w:val="222222"/>
                <w:sz w:val="22"/>
                <w:szCs w:val="22"/>
              </w:rPr>
              <w:t xml:space="preserve">No timeline is committed at this stage. Phases are sequenced by exit criteria, not calendar dates, and progression depends on platform readiness, dependency alignment, working-group endorsement, funding approval, and tenant prioritisation. POCs listed are candidate validation areas only.</w:t>
            </w:r>
          </w:p>
        </w:tc>
      </w:tr>
    </w:tbl>
    <w:p>
      <w:pPr>
        <w:pStyle w:val="Heading1"/>
        <w:spacing w:after="160" w:before="320"/>
      </w:pPr>
      <w:r>
        <w:rPr>
          <w:rFonts w:ascii="Calibri" w:cs="Calibri" w:eastAsia="Calibri" w:hAnsi="Calibri"/>
          <w:b/>
          <w:bCs/>
          <w:color w:val="1F3A5F"/>
          <w:sz w:val="32"/>
          <w:szCs w:val="32"/>
        </w:rPr>
        <w:t xml:space="preserve">15. Risks and Mitigations</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gridCol w:w="100"/>
      </w:tblGrid>
      <w:tr>
        <w:trPr>
          <w:tblHeader/>
        </w:trPr>
        <w:tc>
          <w:tcPr>
            <w:tcW w:type="dxa" w:w="3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Risk</w:t>
            </w:r>
          </w:p>
        </w:tc>
        <w:tc>
          <w:tcPr>
            <w:tcW w:type="dxa" w:w="32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Impact if unmitigated</w:t>
            </w:r>
          </w:p>
        </w:tc>
        <w:tc>
          <w:tcPr>
            <w:tcW w:type="dxa" w:w="32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Mitigation</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Embedding-model proliferation</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Non-comparable retrieval, drift, stranded collections, governance failure.</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 registry is mandatory; non-approved models cannot produce vectors via the service; refresh is service-orchestrated.</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Data plane fragmentation</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Each platform forks the data-plane image, reintroducing today's heterogeneity.</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Reference data plane is owned and version-pinned by AI for Tech; platform teams operate a known image, not a custom build.</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Tenant-side workarounds</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Use cases keep their own vector stores 'just for this one thing'.</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Onboarding lead-time SLA published; control plane absorbs operational toil; chargeback discourages duplicate stacks.</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Classification gaps in upstream data</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Vector collections embed un-classified or mis-classified content.</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Classification gate refuses ingestion without provenance; upstream Layer-2/3 obligations made part of the tenant contract.</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Residency violations</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Embeddings replicated across regions in breach of policy.</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Residency declared in contract; data planes pinned per region; access-layer cross-region retrieval audited.</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FinOps blind spots</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Costs grow without attribution; service viability questioned.</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Per-collection unit metrics from day one; chargeback rehearsed in P2 before going live in P5.</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Tight coupling to a single engine</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Engine vendor lock-in or capability ceiling.</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Engine choice abstracted behind data-plane contract; per-plane choice possible; contract permits engine substitution.</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Group AI / MCP availability</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 inference becomes a bottleneck.</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 execution services are batched and back-pressure-aware; SLA between VectorDBaaS and Group AI codified; degraded-mode policy defined.</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 quality not meeting business expectations</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Service is governance-compliant but fails to deliver business value; tenants lose confidence and revert to bespoke solutions.</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 quality baselines defined per collection; relevance monitoring active; benchmark sets maintained by tenants; quality regression blocks embedding model promotion; escalation path defined.</w:t>
            </w:r>
          </w:p>
        </w:tc>
      </w:tr>
    </w:tbl>
    <w:p>
      <w:pPr>
        <w:pStyle w:val="Heading1"/>
        <w:spacing w:after="160" w:before="320"/>
      </w:pPr>
      <w:r>
        <w:rPr>
          <w:rFonts w:ascii="Calibri" w:cs="Calibri" w:eastAsia="Calibri" w:hAnsi="Calibri"/>
          <w:b/>
          <w:bCs/>
          <w:color w:val="1F3A5F"/>
          <w:sz w:val="32"/>
          <w:szCs w:val="32"/>
        </w:rPr>
        <w:t xml:space="preserve">16. Dependencies and Stakeholders</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tblGrid>
      <w:tr>
        <w:trPr>
          <w:tblHeader/>
        </w:trPr>
        <w:tc>
          <w:tcPr>
            <w:tcW w:type="dxa" w:w="3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Dependency / stakeholder</w:t>
            </w:r>
          </w:p>
        </w:tc>
        <w:tc>
          <w:tcPr>
            <w:tcW w:type="dxa" w:w="64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Nature of dependency</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Group AI</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Provides embedding models via MCP; participates in embedding-model registry; SLA partner for model-level service commitments.</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Data platform teams (IWPB / WPB / CIB / R&amp;C and others)</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Operate data planes within their platforms; co-own platform-local performance, scale, residency.</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Data Governance / CDO function</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Owns classification policy, lineage standards, retention policy.</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Security</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Owns IAM, KMS, DLP, runtime entitlement standards.</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Risk</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Reviews embedding-model approvals; reviews Responsible-AI alignment.</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Enterprise catalogue / Fabric</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Receives lineage events; hosts published semantic and vector-derived data products.</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Business-line architects</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Represent consuming use cases; align use-case roadmaps to service phases.</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AI use case teams</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First and continuing tenants of the service.</w:t>
            </w:r>
          </w:p>
        </w:tc>
      </w:tr>
    </w:tbl>
    <w:p>
      <w:pPr>
        <w:pStyle w:val="Heading1"/>
        <w:spacing w:after="160" w:before="320"/>
      </w:pPr>
      <w:r>
        <w:rPr>
          <w:rFonts w:ascii="Calibri" w:cs="Calibri" w:eastAsia="Calibri" w:hAnsi="Calibri"/>
          <w:b/>
          <w:bCs/>
          <w:color w:val="1F3A5F"/>
          <w:sz w:val="32"/>
          <w:szCs w:val="32"/>
        </w:rPr>
        <w:t xml:space="preserve">17. Architectural Decisions Log</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gridCol w:w="100"/>
      </w:tblGrid>
      <w:tr>
        <w:trPr>
          <w:tblHeader/>
        </w:trPr>
        <w:tc>
          <w:tcPr>
            <w:tcW w:type="dxa" w:w="8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w:t>
            </w:r>
          </w:p>
        </w:tc>
        <w:tc>
          <w:tcPr>
            <w:tcW w:type="dxa" w:w="35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Decision</w:t>
            </w:r>
          </w:p>
        </w:tc>
        <w:tc>
          <w:tcPr>
            <w:tcW w:type="dxa" w:w="51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Rationale</w:t>
            </w:r>
          </w:p>
        </w:tc>
      </w:tr>
      <w:tr>
        <w:tc>
          <w:tcPr>
            <w:tcW w:type="dxa" w:w="8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AD-01</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Adopt hub-and-spoke with central control plane and federated data planes.</w:t>
            </w:r>
          </w:p>
        </w:tc>
        <w:tc>
          <w:tcPr>
            <w:tcW w:type="dxa" w:w="51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Balances central governance and embedding consistency with platform-local residency and performance; avoids monolithic and per-use-case anti-patterns.</w:t>
            </w:r>
          </w:p>
        </w:tc>
      </w:tr>
      <w:tr>
        <w:tc>
          <w:tcPr>
            <w:tcW w:type="dxa" w:w="8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AD-02</w:t>
            </w:r>
          </w:p>
        </w:tc>
        <w:tc>
          <w:tcPr>
            <w:tcW w:type="dxa" w:w="3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Engine choice abstracted behind the service contract; can vary by data plane.</w:t>
            </w:r>
          </w:p>
        </w:tc>
        <w:tc>
          <w:tcPr>
            <w:tcW w:type="dxa" w:w="51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Prevents premature engine lock-in; allows platform-appropriate choices; keeps the architectural commitment about contracts, not products.</w:t>
            </w:r>
          </w:p>
        </w:tc>
      </w:tr>
      <w:tr>
        <w:tc>
          <w:tcPr>
            <w:tcW w:type="dxa" w:w="8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AD-03</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All embedding inference goes through Group AI via MCP — no local model hosting.</w:t>
            </w:r>
          </w:p>
        </w:tc>
        <w:tc>
          <w:tcPr>
            <w:tcW w:type="dxa" w:w="51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Single point of model governance; consistent with L5 of the reference architecture; prevents un-approved models entering production.</w:t>
            </w:r>
          </w:p>
        </w:tc>
      </w:tr>
      <w:tr>
        <w:tc>
          <w:tcPr>
            <w:tcW w:type="dxa" w:w="8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AD-04</w:t>
            </w:r>
          </w:p>
        </w:tc>
        <w:tc>
          <w:tcPr>
            <w:tcW w:type="dxa" w:w="3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 Model Registry is mandatory; non-approved models cannot produce vectors via the service.</w:t>
            </w:r>
          </w:p>
        </w:tc>
        <w:tc>
          <w:tcPr>
            <w:tcW w:type="dxa" w:w="51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 choice is the dominant retrieval-quality lever; without registry control, the service cannot guarantee comparability or drift management.</w:t>
            </w:r>
          </w:p>
        </w:tc>
      </w:tr>
      <w:tr>
        <w:tc>
          <w:tcPr>
            <w:tcW w:type="dxa" w:w="8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AD-05</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Dual access — direct retrieval and Fabric publication — share the same control-plane governance.</w:t>
            </w:r>
          </w:p>
        </w:tc>
        <w:tc>
          <w:tcPr>
            <w:tcW w:type="dxa" w:w="51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Prevents Fabric being treated as a governance shortcut; preserves single source of truth for lineage, classification, and entitlement.</w:t>
            </w:r>
          </w:p>
        </w:tc>
      </w:tr>
      <w:tr>
        <w:tc>
          <w:tcPr>
            <w:tcW w:type="dxa" w:w="8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AD-06</w:t>
            </w:r>
          </w:p>
        </w:tc>
        <w:tc>
          <w:tcPr>
            <w:tcW w:type="dxa" w:w="3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Tenants are use cases or business-line domains, not individual applications.</w:t>
            </w:r>
          </w:p>
        </w:tc>
        <w:tc>
          <w:tcPr>
            <w:tcW w:type="dxa" w:w="51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Avoids tenant explosion; makes onboarding and chargeback meaningful units.</w:t>
            </w:r>
          </w:p>
        </w:tc>
      </w:tr>
      <w:tr>
        <w:tc>
          <w:tcPr>
            <w:tcW w:type="dxa" w:w="8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AD-07</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No cross-region vector replication; cross-region retrieval only via the access layer with audit.</w:t>
            </w:r>
          </w:p>
        </w:tc>
        <w:tc>
          <w:tcPr>
            <w:tcW w:type="dxa" w:w="51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Honours residency and sovereignty obligations; matches enterprise data-movement standards.</w:t>
            </w:r>
          </w:p>
        </w:tc>
      </w:tr>
      <w:tr>
        <w:tc>
          <w:tcPr>
            <w:tcW w:type="dxa" w:w="8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AD-08</w:t>
            </w:r>
          </w:p>
        </w:tc>
        <w:tc>
          <w:tcPr>
            <w:tcW w:type="dxa" w:w="3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FinOps and chargeback are first-class capabilities, rehearsed in P2 and live in P5.</w:t>
            </w:r>
          </w:p>
        </w:tc>
        <w:tc>
          <w:tcPr>
            <w:tcW w:type="dxa" w:w="51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Service viability depends on transparent unit economics; controls without measurement are hollow.</w:t>
            </w:r>
          </w:p>
        </w:tc>
      </w:tr>
      <w:tr>
        <w:tc>
          <w:tcPr>
            <w:tcW w:type="dxa" w:w="8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AD-09</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Source content remains source-of-truth; vector collections are derived and re-buildable.</w:t>
            </w:r>
          </w:p>
        </w:tc>
        <w:tc>
          <w:tcPr>
            <w:tcW w:type="dxa" w:w="51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Simplifies retention and erasure; embeddings can be regenerated after model upgrades without source migration.</w:t>
            </w:r>
          </w:p>
        </w:tc>
      </w:tr>
      <w:tr>
        <w:tc>
          <w:tcPr>
            <w:tcW w:type="dxa" w:w="8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AD-10</w:t>
            </w:r>
          </w:p>
        </w:tc>
        <w:tc>
          <w:tcPr>
            <w:tcW w:type="dxa" w:w="3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Shared collections are exception-based and require explicit approval.</w:t>
            </w:r>
          </w:p>
        </w:tc>
        <w:tc>
          <w:tcPr>
            <w:tcW w:type="dxa" w:w="51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In a regulated bank, multi-tenant data separation is the default; shared collections introduce entitlement and classification risks that must be explicitly accepted.</w:t>
            </w:r>
          </w:p>
        </w:tc>
      </w:tr>
      <w:tr>
        <w:tc>
          <w:tcPr>
            <w:tcW w:type="dxa" w:w="8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AD-11</w:t>
            </w:r>
          </w:p>
        </w:tc>
        <w:tc>
          <w:tcPr>
            <w:tcW w:type="dxa" w:w="35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 quality governance is a first-class service capability.</w:t>
            </w:r>
          </w:p>
        </w:tc>
        <w:tc>
          <w:tcPr>
            <w:tcW w:type="dxa" w:w="51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Architectural compliance without retrieval effectiveness delivers no business value; quality baselines and monitoring close this gap.</w:t>
            </w:r>
          </w:p>
        </w:tc>
      </w:tr>
      <w:tr>
        <w:tc>
          <w:tcPr>
            <w:tcW w:type="dxa" w:w="8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AD-12</w:t>
            </w:r>
          </w:p>
        </w:tc>
        <w:tc>
          <w:tcPr>
            <w:tcW w:type="dxa" w:w="35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VectorDBaaS standardises vector capability only; retrieval logic, semantic reasoning, knowledge-graph behaviour, and use-case ranking remain peer or tenant responsibilities.</w:t>
            </w:r>
          </w:p>
        </w:tc>
        <w:tc>
          <w:tcPr>
            <w:tcW w:type="dxa" w:w="51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Prevents scope creep into responsibilities that belong to consumers or peer services; keeps the service boundary defensible.</w:t>
            </w:r>
          </w:p>
        </w:tc>
      </w:tr>
    </w:tbl>
    <w:p>
      <w:pPr>
        <w:pStyle w:val="Heading1"/>
        <w:spacing w:after="160" w:before="320"/>
      </w:pPr>
      <w:r>
        <w:rPr>
          <w:rFonts w:ascii="Calibri" w:cs="Calibri" w:eastAsia="Calibri" w:hAnsi="Calibri"/>
          <w:b/>
          <w:bCs/>
          <w:color w:val="1F3A5F"/>
          <w:sz w:val="32"/>
          <w:szCs w:val="32"/>
        </w:rPr>
        <w:t xml:space="preserve">18. Open Questions for Working-Group Review</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gridCol w:w="100"/>
      </w:tblGrid>
      <w:tr>
        <w:trPr>
          <w:tblHeader/>
        </w:trPr>
        <w:tc>
          <w:tcPr>
            <w:tcW w:type="dxa" w:w="8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w:t>
            </w:r>
          </w:p>
        </w:tc>
        <w:tc>
          <w:tcPr>
            <w:tcW w:type="dxa" w:w="64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Question</w:t>
            </w:r>
          </w:p>
        </w:tc>
        <w:tc>
          <w:tcPr>
            <w:tcW w:type="dxa" w:w="22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Priority</w:t>
            </w:r>
          </w:p>
        </w:tc>
      </w:tr>
      <w:tr>
        <w:tc>
          <w:tcPr>
            <w:tcW w:type="dxa" w:w="8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OQ-01</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Which data platform hosts the reference data plane in P1? Recommendation pending platform readiness review.</w:t>
            </w:r>
          </w:p>
        </w:tc>
        <w:tc>
          <w:tcPr>
            <w:tcW w:type="dxa" w:w="2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Decision needed before P1</w:t>
            </w:r>
          </w:p>
        </w:tc>
      </w:tr>
      <w:tr>
        <w:tc>
          <w:tcPr>
            <w:tcW w:type="dxa" w:w="8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OQ-02</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Initial approved embedding model — confirm Group AI's recommended starting model and version coexistence policy.</w:t>
            </w:r>
          </w:p>
        </w:tc>
        <w:tc>
          <w:tcPr>
            <w:tcW w:type="dxa" w:w="2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Decision needed before P1</w:t>
            </w:r>
          </w:p>
        </w:tc>
      </w:tr>
      <w:tr>
        <w:tc>
          <w:tcPr>
            <w:tcW w:type="dxa" w:w="8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OQ-03</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Chargeback unit prices — to be set after P1 cost telemetry; placeholder rates required for P2 dry-run.</w:t>
            </w:r>
          </w:p>
        </w:tc>
        <w:tc>
          <w:tcPr>
            <w:tcW w:type="dxa" w:w="2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Needed before P2</w:t>
            </w:r>
          </w:p>
        </w:tc>
      </w:tr>
      <w:tr>
        <w:tc>
          <w:tcPr>
            <w:tcW w:type="dxa" w:w="8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OQ-04</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Knowledge-graph integration pattern — does the KG service consume vectors as a peer service (preferred) or does it persist its own?</w:t>
            </w:r>
          </w:p>
        </w:tc>
        <w:tc>
          <w:tcPr>
            <w:tcW w:type="dxa" w:w="2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Needed before P2</w:t>
            </w:r>
          </w:p>
        </w:tc>
      </w:tr>
      <w:tr>
        <w:tc>
          <w:tcPr>
            <w:tcW w:type="dxa" w:w="8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OQ-05</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Tenant intake lead-time SLA target — proposed at 5–10 working days median from approved request to provisioned collection.</w:t>
            </w:r>
          </w:p>
        </w:tc>
        <w:tc>
          <w:tcPr>
            <w:tcW w:type="dxa" w:w="2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Decision needed now</w:t>
            </w:r>
          </w:p>
        </w:tc>
      </w:tr>
      <w:tr>
        <w:tc>
          <w:tcPr>
            <w:tcW w:type="dxa" w:w="8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OQ-06</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Treatment of long-term inactive tenants — auto-suspend after N days of no usage with notification?</w:t>
            </w:r>
          </w:p>
        </w:tc>
        <w:tc>
          <w:tcPr>
            <w:tcW w:type="dxa" w:w="2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Can wait until later phases</w:t>
            </w:r>
          </w:p>
        </w:tc>
      </w:tr>
      <w:tr>
        <w:tc>
          <w:tcPr>
            <w:tcW w:type="dxa" w:w="8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OQ-07</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Position on community / open-source engines for non-production data planes — permitted with what guardrails?</w:t>
            </w:r>
          </w:p>
        </w:tc>
        <w:tc>
          <w:tcPr>
            <w:tcW w:type="dxa" w:w="2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Needed before P1</w:t>
            </w:r>
          </w:p>
        </w:tc>
      </w:tr>
      <w:tr>
        <w:tc>
          <w:tcPr>
            <w:tcW w:type="dxa" w:w="8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OQ-08</w:t>
            </w:r>
          </w:p>
        </w:tc>
        <w:tc>
          <w:tcPr>
            <w:tcW w:type="dxa" w:w="6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Shared-collection approval process — who has final sign-off authority for shared-collection requests?</w:t>
            </w:r>
          </w:p>
        </w:tc>
        <w:tc>
          <w:tcPr>
            <w:tcW w:type="dxa" w:w="2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Decision needed now</w:t>
            </w:r>
          </w:p>
        </w:tc>
      </w:tr>
      <w:tr>
        <w:tc>
          <w:tcPr>
            <w:tcW w:type="dxa" w:w="8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OQ-09</w:t>
            </w:r>
          </w:p>
        </w:tc>
        <w:tc>
          <w:tcPr>
            <w:tcW w:type="dxa" w:w="6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 quality baseline standards — what minimum relevance thresholds should apply across the service?</w:t>
            </w:r>
          </w:p>
        </w:tc>
        <w:tc>
          <w:tcPr>
            <w:tcW w:type="dxa" w:w="2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Needed before P2</w:t>
            </w:r>
          </w:p>
        </w:tc>
      </w:tr>
    </w:tbl>
    <w:p>
      <w:pPr>
        <w:pStyle w:val="Heading1"/>
        <w:spacing w:after="160" w:before="320"/>
      </w:pPr>
      <w:r>
        <w:rPr>
          <w:rFonts w:ascii="Calibri" w:cs="Calibri" w:eastAsia="Calibri" w:hAnsi="Calibri"/>
          <w:b/>
          <w:bCs/>
          <w:color w:val="1F3A5F"/>
          <w:sz w:val="32"/>
          <w:szCs w:val="32"/>
        </w:rPr>
        <w:t xml:space="preserve">Appendix A — Critique of the Initial Working Draft</w:t>
      </w:r>
    </w:p>
    <w:p>
      <w:pPr>
        <w:spacing w:after="80" w:before="60" w:line="300"/>
      </w:pPr>
      <w:r>
        <w:rPr>
          <w:rFonts w:ascii="Calibri" w:cs="Calibri" w:eastAsia="Calibri" w:hAnsi="Calibri"/>
          <w:color w:val="222222"/>
          <w:sz w:val="22"/>
          <w:szCs w:val="22"/>
        </w:rPr>
        <w:t xml:space="preserve">This document supersedes an earlier working draft (vector_db_as_a_service_confluence) and an initial service blueprint diagram (vector_db_service_blueprint). Both were a useful starting point but had not yet reached the level of architectural specificity required for working-group submission and architecture forum review in a regulated bank. The principal gaps and how this document addresses them are recorded below for working-group transparency.</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gridCol w:w="100"/>
      </w:tblGrid>
      <w:tr>
        <w:trPr>
          <w:tblHeader/>
        </w:trPr>
        <w:tc>
          <w:tcPr>
            <w:tcW w:type="dxa" w:w="3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Initial draft gap</w:t>
            </w:r>
          </w:p>
        </w:tc>
        <w:tc>
          <w:tcPr>
            <w:tcW w:type="dxa" w:w="32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Impact</w:t>
            </w:r>
          </w:p>
        </w:tc>
        <w:tc>
          <w:tcPr>
            <w:tcW w:type="dxa" w:w="32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How this document addresses it</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No architectural shape — service was described as a flat list of capabilities.</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Could not be reasoned about as a system; capability list does not constrain delivery.</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Hub-and-spoke shape made explicit (Section 5) with control plane / data plane separation, dual-access layer, and shared services consumed.</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No tenancy model.</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Multi-tenant safety unclear; no answer for residency or cross-LOB data; cost attribution impossible.</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Tenancy and deployment model added (Section 7), with two named tenancy patterns, explicit shared-collection caution, and residency policy.</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 governance treated as a sentence, not a capability.</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 choice is the single biggest retrieval-quality and risk lever; absence guarantees future drift incidents.</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 Model Registry positioned as the keystone of the control plane (Section 8) with full lifecycle controls.</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No Group AI / MCP integration position.</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Risk of local model hosting or shadow inference paths.</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Architectural decision AD-03 records that all embedding inference flows through Group AI via MCP.</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No retrieval quality governance.</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Service could be governance-compliant but fail on retrieval effectiveness.</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 quality governance added as a first-class concern (Section 9.1) with baselines, monitoring, benchmarks, and an explicit tenant vs service responsibility boundary.</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Roadmap was a list of phases without exit criteria.</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Cannot be funded or prioritised; no way to declare a phase 'done'.</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Roadmap restructured (Section 14) as phased sequencing with outcomes, exit criteria, and candidate POC validation areas; no specific timeline committed.</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Risks listed but not implementation-grounded.</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Reads as theoretical risk register, not delivery risk.</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Risks rewritten as delivery-grade with named impacts and mitigations (Section 15), including a retrieval-quality risk.</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No ownership boundaries.</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Unclear accountability between AI for Tech, Group AI, data platforms, and governance functions.</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Explicit ownership model added (Section 11.1) with accountability boundaries for all parties.</w:t>
            </w:r>
          </w:p>
        </w:tc>
      </w:tr>
      <w:tr>
        <w:tc>
          <w:tcPr>
            <w:tcW w:type="dxa" w:w="3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No service boundary vs peer services.</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Risk of scope creep into responsibilities that belong to consumers or peer services.</w:t>
            </w:r>
          </w:p>
        </w:tc>
        <w:tc>
          <w:tcPr>
            <w:tcW w:type="dxa" w:w="32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Service boundary statement added (Section 6) and codified as AD-12: VectorDBaaS standardises vector capability only; retrieval logic, semantic reasoning, knowledge-graph behaviour, and use-case ranking remain peer or tenant responsibilities.</w:t>
            </w:r>
          </w:p>
        </w:tc>
      </w:tr>
      <w:tr>
        <w:tc>
          <w:tcPr>
            <w:tcW w:type="dxa" w:w="3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No FinOps / chargeback position.</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Service viability not addressable.</w:t>
            </w:r>
          </w:p>
        </w:tc>
        <w:tc>
          <w:tcPr>
            <w:tcW w:type="dxa" w:w="32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Observability and FinOps added as a first-class section (Section 13) with explicit chargeback principle.</w:t>
            </w:r>
          </w:p>
        </w:tc>
      </w:tr>
    </w:tbl>
    <w:p>
      <w:pPr>
        <w:pStyle w:val="Heading1"/>
        <w:spacing w:after="160" w:before="320"/>
      </w:pPr>
      <w:r>
        <w:rPr>
          <w:rFonts w:ascii="Calibri" w:cs="Calibri" w:eastAsia="Calibri" w:hAnsi="Calibri"/>
          <w:b/>
          <w:bCs/>
          <w:color w:val="1F3A5F"/>
          <w:sz w:val="32"/>
          <w:szCs w:val="32"/>
        </w:rPr>
        <w:t xml:space="preserve">Appendix B — Glossary</w:t>
      </w:r>
    </w:p>
    <w:tbl>
      <w:tblPr>
        <w:tblW w:type="pct" w:w="1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tblGrid>
      <w:tr>
        <w:trPr>
          <w:tblHeader/>
        </w:trPr>
        <w:tc>
          <w:tcPr>
            <w:tcW w:type="dxa" w:w="24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Term</w:t>
            </w:r>
          </w:p>
        </w:tc>
        <w:tc>
          <w:tcPr>
            <w:tcW w:type="dxa" w:w="7000"/>
            <w:shd w:fill="1F3A5F" w:color="auto" w:val="clear"/>
            <w:tcMar>
              <w:top w:type="dxa" w:w="120"/>
              <w:left w:type="dxa" w:w="120"/>
              <w:bottom w:type="dxa" w:w="120"/>
              <w:right w:type="dxa" w:w="120"/>
            </w:tcMar>
          </w:tcPr>
          <w:p>
            <w:r>
              <w:rPr>
                <w:rFonts w:ascii="Calibri" w:cs="Calibri" w:eastAsia="Calibri" w:hAnsi="Calibri"/>
                <w:b/>
                <w:bCs/>
                <w:color w:val="FFFFFF"/>
                <w:sz w:val="21"/>
                <w:szCs w:val="21"/>
              </w:rPr>
              <w:t xml:space="preserve">Definition</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Control plane</w:t>
            </w:r>
          </w:p>
        </w:tc>
        <w:tc>
          <w:tcPr>
            <w:tcW w:type="dxa" w:w="7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The centrally owned hub of the service: registry, contracts, embedding governance, lifecycle orchestration, retrieval quality governance, lineage publication, observability, FinOps.</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Data plane</w:t>
            </w:r>
          </w:p>
        </w:tc>
        <w:tc>
          <w:tcPr>
            <w:tcW w:type="dxa" w:w="7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 federated spoke deployed within a data platform / region. Holds the vector engine, embedding execution service, retrieval API, runtime access and policy enforcement, cache.</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Tenant</w:t>
            </w:r>
          </w:p>
        </w:tc>
        <w:tc>
          <w:tcPr>
            <w:tcW w:type="dxa" w:w="7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 use case or business-line domain that owns one or more collections under contract.</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Collection</w:t>
            </w:r>
          </w:p>
        </w:tc>
        <w:tc>
          <w:tcPr>
            <w:tcW w:type="dxa" w:w="7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 namespaced set of vector records under a single contract, embedding model, schema, and retention policy.</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Embedding Model Registry</w:t>
            </w:r>
          </w:p>
        </w:tc>
        <w:tc>
          <w:tcPr>
            <w:tcW w:type="dxa" w:w="7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The catalogue of approved models, versions, deprecation policies, and drift signals. Proposed as the keystone of embedding governance.</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Direct runtime retrieval</w:t>
            </w:r>
          </w:p>
        </w:tc>
        <w:tc>
          <w:tcPr>
            <w:tcW w:type="dxa" w:w="7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The synchronous low-latency retrieval path used by RAG, agentic, and orchestration consumers.</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Curated semantic product</w:t>
            </w:r>
          </w:p>
        </w:tc>
        <w:tc>
          <w:tcPr>
            <w:tcW w:type="dxa" w:w="7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 contract-bound retrieval output (e.g. documented top-K result set under a stable query, or a derived knowledge product such as a topic map).</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Governed semantic view</w:t>
            </w:r>
          </w:p>
        </w:tc>
        <w:tc>
          <w:tcPr>
            <w:tcW w:type="dxa" w:w="7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 contract-bound projection over an underlying collection, exposed under data product contract.</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Vector-derived product</w:t>
            </w:r>
          </w:p>
        </w:tc>
        <w:tc>
          <w:tcPr>
            <w:tcW w:type="dxa" w:w="7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 derived asset such as cluster summaries, similarity neighbourhoods, or topic-level aggregates exposed under contract — not the underlying collection.</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MCP</w:t>
            </w:r>
          </w:p>
        </w:tc>
        <w:tc>
          <w:tcPr>
            <w:tcW w:type="dxa" w:w="7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Model Context Protocol — the governed gateway through which Group AI exposes embedding (and other) models to consuming services.</w:t>
            </w:r>
          </w:p>
        </w:tc>
      </w:tr>
      <w:tr>
        <w:tc>
          <w:tcPr>
            <w:tcW w:type="dxa" w:w="24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Source-of-truth</w:t>
            </w:r>
          </w:p>
        </w:tc>
        <w:tc>
          <w:tcPr>
            <w:tcW w:type="dxa" w:w="7000"/>
            <w:shd w:fill="F6F8FB" w:color="auto" w:val="clear"/>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The upstream content store from which embeddings are derived; vectors are derived assets and may be rebuilt from this source.</w:t>
            </w:r>
          </w:p>
        </w:tc>
      </w:tr>
      <w:tr>
        <w:tc>
          <w:tcPr>
            <w:tcW w:type="dxa" w:w="24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Retrieval quality baseline</w:t>
            </w:r>
          </w:p>
        </w:tc>
        <w:tc>
          <w:tcPr>
            <w:tcW w:type="dxa" w:w="7000"/>
            <w:tcMar>
              <w:top w:type="dxa" w:w="100"/>
              <w:left w:type="dxa" w:w="120"/>
              <w:bottom w:type="dxa" w:w="100"/>
              <w:right w:type="dxa" w:w="120"/>
            </w:tcMar>
          </w:tcPr>
          <w:p>
            <w:pPr>
              <w:spacing w:line="280"/>
            </w:pPr>
            <w:r>
              <w:rPr>
                <w:rFonts w:ascii="Calibri" w:cs="Calibri" w:eastAsia="Calibri" w:hAnsi="Calibri"/>
                <w:b w:val="false"/>
                <w:bCs w:val="false"/>
                <w:sz w:val="20"/>
                <w:szCs w:val="20"/>
              </w:rPr>
              <w:t xml:space="preserve">A minimum acceptable relevance standard for a collection, measured against a representative benchmark set.</w:t>
            </w:r>
          </w:p>
        </w:tc>
      </w:tr>
    </w:tbl>
    <w:sectPr>
      <w:headerReference w:type="default" r:id="rId7"/>
      <w:footerReference w:type="default" r:id="rId8"/>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right"/>
    </w:pPr>
    <w:r>
      <w:rPr>
        <w:rFonts w:ascii="Calibri" w:cs="Calibri" w:eastAsia="Calibri" w:hAnsi="Calibri"/>
        <w:color w:val="5B6878"/>
        <w:sz w:val="16"/>
        <w:szCs w:val="16"/>
      </w:rPr>
      <w:t xml:space="preserve">AI for Tech | Unstructured Data Workstream | Working-group draft v2.1 (refined)</w:t>
    </w:r>
    <w:r>
      <w:rPr>
        <w:sz w:val="16"/>
        <w:szCs w:val="16"/>
      </w:rPr>
      <w:t xml:space="preserve">	</w:t>
    </w:r>
    <w:r>
      <w:rPr>
        <w:rFonts w:ascii="Calibri" w:cs="Calibri" w:eastAsia="Calibri" w:hAnsi="Calibri"/>
        <w:color w:val="5B687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B6878"/>
        <w:sz w:val="18"/>
        <w:szCs w:val="18"/>
      </w:rPr>
      <w:t xml:space="preserve">VectorDBaaS — Reference Design &amp; Roadmap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A5F"/>
      <w:sz w:val="32"/>
      <w:szCs w:val="32"/>
    </w:rPr>
  </w:style>
  <w:style w:type="paragraph" w:styleId="Heading2">
    <w:name w:val="Heading 2"/>
    <w:basedOn w:val="Normal"/>
    <w:next w:val="Normal"/>
    <w:qFormat/>
    <w:pPr>
      <w:spacing w:after="120" w:before="240"/>
    </w:pPr>
    <w:rPr>
      <w:rFonts w:ascii="Calibri" w:cs="Calibri" w:eastAsia="Calibri" w:hAnsi="Calibri"/>
      <w:b/>
      <w:bCs/>
      <w:color w:val="1F3A5F"/>
      <w:sz w:val="26"/>
      <w:szCs w:val="26"/>
    </w:rPr>
  </w:style>
  <w:style w:type="paragraph" w:styleId="Heading3">
    <w:name w:val="Heading 3"/>
    <w:basedOn w:val="Normal"/>
    <w:next w:val="Normal"/>
    <w:qFormat/>
    <w:pPr>
      <w:spacing w:after="80" w:before="180"/>
    </w:pPr>
    <w:rPr>
      <w:rFonts w:ascii="Calibri" w:cs="Calibri" w:eastAsia="Calibri" w:hAnsi="Calibri"/>
      <w:b/>
      <w:bCs/>
      <w:color w:val="2E6F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8bea15c2c216cfe7075c9231457e5ea152c72c.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VectorDBaaS Reference Design and Roadmap v2.1</dc:title>
  <dc:creator>AI for Tech — Unstructured Data</dc:creator>
  <dc:description>Refined v2.1 — proposed enterprise reference design and adoption roadmap for Vector DB as a Service</dc:description>
  <cp:lastModifiedBy>Un-named</cp:lastModifiedBy>
  <cp:revision>1</cp:revision>
  <dcterms:created xsi:type="dcterms:W3CDTF">2026-04-28T20:49:11.506Z</dcterms:created>
  <dcterms:modified xsi:type="dcterms:W3CDTF">2026-04-28T20:49:11.507Z</dcterms:modified>
</cp:coreProperties>
</file>

<file path=docProps/custom.xml><?xml version="1.0" encoding="utf-8"?>
<Properties xmlns="http://schemas.openxmlformats.org/officeDocument/2006/custom-properties" xmlns:vt="http://schemas.openxmlformats.org/officeDocument/2006/docPropsVTypes"/>
</file>