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Enterprise Reference Architecture for Unstructured Data Processing</w:t>
      </w:r>
    </w:p>
    <w:p>
      <w:pPr>
        <w:pStyle w:val="Heading1"/>
      </w:pPr>
      <w:r>
        <w:t>1. Purpose</w:t>
      </w:r>
    </w:p>
    <w:p>
      <w:r>
        <w:t>This document provides the enterprise reference architecture for unstructured and semi-structured data processing within the bank. It is maintained by the Enterprise Architecture workstream and is intended for architecture review, working-group circulation, and alignment with delivery teams across the organisation.</w:t>
      </w:r>
    </w:p>
    <w:p>
      <w:r>
        <w:t>Its purpose is to define a platform-agnostic, enterprise-level architecture view for how heterogeneous unstructured and semi-structured content can be onboarded, prepared, processed, integrated with shared AI services, persisted, published as governed data products, and exposed for retrieval, analytics, and downstream business use.</w:t>
      </w:r>
    </w:p>
    <w:p>
      <w:r>
        <w:t>This is a logical reference architecture intended to establish the baseline architectural direction for the workstream and support further refinement, stakeholder alignment, and gap assessment.</w:t>
      </w:r>
    </w:p>
    <w:p>
      <w:pPr>
        <w:pStyle w:val="Heading1"/>
      </w:pPr>
      <w:r>
        <w:t>2. Scope</w:t>
      </w:r>
    </w:p>
    <w:p>
      <w:r>
        <w:t>The reference architecture is intended to support a broad range of source types, including internal documents and knowledge content, operational workflow and case content, communication and collaboration content, media and interaction sources, external and third-party content, repository and file sources, and structured context sources used to enrich or cross-reference unstructured content during processing.</w:t>
      </w:r>
    </w:p>
    <w:p>
      <w:r>
        <w:t>It is designed to support downstream patterns including retrieval and search, RAG and assistant experiences, stateful agent workflows, knowledge graph construction, structured downstream data products, enterprise application integration, analytics use cases, and published data product access through the enterprise Fabric layer.</w:t>
      </w:r>
    </w:p>
    <w:p>
      <w:r>
        <w:t>It is intentionally platform-agnostic and does not assume a single cloud, product, or implementation topology.</w:t>
      </w:r>
    </w:p>
    <w:p>
      <w:pPr>
        <w:pStyle w:val="Heading1"/>
      </w:pPr>
      <w:r>
        <w:t>3. Architecture Intent</w:t>
      </w:r>
    </w:p>
    <w:p>
      <w:r>
        <w:t>The architecture addresses a common enterprise problem: unstructured data is already being used in multiple ways across AI use cases, but current delivery patterns are fragmented, use-case-led, and not yet aligned to a shared architecture model.</w:t>
      </w:r>
    </w:p>
    <w:p>
      <w:r>
        <w:t>The reference architecture therefore provides:</w:t>
      </w:r>
    </w:p>
    <w:p>
      <w:pPr>
        <w:pStyle w:val="ListBullet"/>
      </w:pPr>
      <w:r>
        <w:t>A common lifecycle model for unstructured content from source through to consumption.</w:t>
      </w:r>
    </w:p>
    <w:p>
      <w:pPr>
        <w:pStyle w:val="ListBullet"/>
      </w:pPr>
      <w:r>
        <w:t>A shared capability view across ingestion, preparation, processing, AI integration, storage, data product publication, and retrieval.</w:t>
      </w:r>
    </w:p>
    <w:p>
      <w:pPr>
        <w:pStyle w:val="ListBullet"/>
      </w:pPr>
      <w:r>
        <w:t>A clear place for security, governance, lineage, and policy controls that apply across the full lifecycle.</w:t>
      </w:r>
    </w:p>
    <w:p>
      <w:pPr>
        <w:pStyle w:val="ListBullet"/>
      </w:pPr>
      <w:r>
        <w:t>A dual access model that supports both direct runtime retrieval and published enterprise data product access through Fabric.</w:t>
      </w:r>
    </w:p>
    <w:p>
      <w:r>
        <w:t>This architecture should be read as a logical enterprise capability model rather than a detailed deployment diagram or project-specific implementation.</w:t>
      </w:r>
    </w:p>
    <w:p>
      <w:pPr>
        <w:pStyle w:val="Heading1"/>
      </w:pPr>
      <w:r>
        <w:t>4. Key Architecture Principles</w:t>
      </w:r>
    </w:p>
    <w:p>
      <w:r>
        <w:rPr>
          <w:b/>
        </w:rPr>
        <w:t xml:space="preserve">Source-agnostic by design — </w:t>
      </w:r>
      <w:r>
        <w:t>The architecture must support a broad range of source domains without assuming a single dominant source pattern.</w:t>
      </w:r>
    </w:p>
    <w:p>
      <w:r>
        <w:rPr>
          <w:b/>
        </w:rPr>
        <w:t xml:space="preserve">Modality-aware processing — </w:t>
      </w:r>
      <w:r>
        <w:t>Documents, audio, chat, email, tickets, and external content require different preparation paths and should not be forced through a single generic processing flow.</w:t>
      </w:r>
    </w:p>
    <w:p>
      <w:r>
        <w:rPr>
          <w:b/>
        </w:rPr>
        <w:t xml:space="preserve">Canonical content before downstream AI use — </w:t>
      </w:r>
      <w:r>
        <w:t>Content should be normalised, enriched, classified, and governed before it is indexed, embedded, graphed, or exposed for retrieval.</w:t>
      </w:r>
    </w:p>
    <w:p>
      <w:r>
        <w:rPr>
          <w:b/>
        </w:rPr>
        <w:t xml:space="preserve">Shared controls across the full lifecycle — </w:t>
      </w:r>
      <w:r>
        <w:t>Security, policy, lineage, DLP, encryption, and observability must apply across ingestion, processing, persistence, publication, and retrieval.</w:t>
      </w:r>
    </w:p>
    <w:p>
      <w:r>
        <w:rPr>
          <w:b/>
        </w:rPr>
        <w:t xml:space="preserve">Multiple persistence models with clear roles — </w:t>
      </w:r>
      <w:r>
        <w:t>Raw, processed, metadata, analytical, vector, graph, and session-state persistence each serve distinct purposes and should be treated separately.</w:t>
      </w:r>
    </w:p>
    <w:p>
      <w:r>
        <w:rPr>
          <w:b/>
        </w:rPr>
        <w:t xml:space="preserve">Governed AI and tool interaction — </w:t>
      </w:r>
      <w:r>
        <w:t>AI runtimes should access tools, services, and models through governed integration patterns rather than unmanaged direct calls.</w:t>
      </w:r>
    </w:p>
    <w:p>
      <w:r>
        <w:rPr>
          <w:b/>
        </w:rPr>
        <w:t xml:space="preserve">Deterministic processing as default — </w:t>
      </w:r>
      <w:r>
        <w:t>Deterministic workflows remain the default and preferred processing pattern unless agentic execution is clearly justified by the complexity, reasoning requirements, or multi-step nature of the use case. The platform must support both deterministic and stateful agent execution, but agentic patterns should not be assumed as the norm.</w:t>
      </w:r>
    </w:p>
    <w:p>
      <w:r>
        <w:rPr>
          <w:b/>
        </w:rPr>
        <w:t xml:space="preserve">Mandatory human oversight for AI-generated outputs — </w:t>
      </w:r>
      <w:r>
        <w:t>In a regulated banking environment, AI-generated content must pass through a human-in-the-loop (HITL) review gate before it is persisted or published as an authoritative enterprise artefact. This is a regulatory and operational requirement, not an optional quality enhancement.</w:t>
      </w:r>
    </w:p>
    <w:p>
      <w:r>
        <w:rPr>
          <w:b/>
        </w:rPr>
        <w:t xml:space="preserve">Retrieval is a governed capability — </w:t>
      </w:r>
      <w:r>
        <w:t>Retrieval must apply entitlement, policy, provenance, and ranking controls rather than acting as a purely technical search function.</w:t>
      </w:r>
    </w:p>
    <w:p>
      <w:r>
        <w:rPr>
          <w:b/>
        </w:rPr>
        <w:t xml:space="preserve">Enterprise data product access through Fabric — </w:t>
      </w:r>
      <w:r>
        <w:t>Structured analytical products, knowledge graph outputs, and curated unstructured products should be published through the enterprise Fabric layer to provide standardised discoverability, governance, and access across the organisation.</w:t>
      </w:r>
    </w:p>
    <w:p>
      <w:r>
        <w:rPr>
          <w:b/>
        </w:rPr>
        <w:t xml:space="preserve">Enterprise metadata and lineage alignment is mandatory — </w:t>
      </w:r>
      <w:r>
        <w:t>Local operational metadata and lineage may exist for execution purposes, but enterprise publication and alignment to catalogue and Fabric services is mandatory for end-to-end control, auditability, and regulatory compliance. Isolated local metadata must not become a long-term operating model.</w:t>
      </w:r>
    </w:p>
    <w:p>
      <w:r>
        <w:rPr>
          <w:b/>
        </w:rPr>
        <w:t xml:space="preserve">Federated deployment is expected — </w:t>
      </w:r>
      <w:r>
        <w:t>The logical architecture does not imply a single physical platform. Capabilities may be deployed in hybrid, multi-cloud, regional, or on-prem patterns depending on policy and operational needs.</w:t>
      </w:r>
    </w:p>
    <w:p>
      <w:pPr>
        <w:pStyle w:val="Heading1"/>
      </w:pPr>
      <w:r>
        <w:t>5. Layered Architecture Overview</w:t>
      </w:r>
    </w:p>
    <w:p>
      <w:r>
        <w:t>The architecture is structured as a left-to-right lifecycle comprising nine logical layers plus a cross-cutting control plane:</w:t>
      </w:r>
    </w:p>
    <w:p>
      <w:pPr>
        <w:pStyle w:val="ListBullet"/>
      </w:pPr>
      <w:r>
        <w:t>1. Source Domains</w:t>
      </w:r>
    </w:p>
    <w:p>
      <w:pPr>
        <w:pStyle w:val="ListBullet"/>
      </w:pPr>
      <w:r>
        <w:t>2. Ingestion &amp; Onboarding</w:t>
      </w:r>
    </w:p>
    <w:p>
      <w:pPr>
        <w:pStyle w:val="ListBullet"/>
      </w:pPr>
      <w:r>
        <w:t>3. Preparation &amp; Normalisation</w:t>
      </w:r>
    </w:p>
    <w:p>
      <w:pPr>
        <w:pStyle w:val="ListBullet"/>
      </w:pPr>
      <w:r>
        <w:t>4. Orchestration &amp; Semantic Processing</w:t>
      </w:r>
    </w:p>
    <w:p>
      <w:pPr>
        <w:pStyle w:val="ListBullet"/>
      </w:pPr>
      <w:r>
        <w:t>5. Governed AI Integration</w:t>
      </w:r>
    </w:p>
    <w:p>
      <w:pPr>
        <w:pStyle w:val="ListBullet"/>
      </w:pPr>
      <w:r>
        <w:t>6. Persistence Services</w:t>
      </w:r>
    </w:p>
    <w:p>
      <w:pPr>
        <w:pStyle w:val="ListBullet"/>
      </w:pPr>
      <w:r>
        <w:t>7. Fabric / Data Product Access Layer</w:t>
      </w:r>
    </w:p>
    <w:p>
      <w:pPr>
        <w:pStyle w:val="ListBullet"/>
      </w:pPr>
      <w:r>
        <w:t>8. Retrieval &amp; Consumption</w:t>
      </w:r>
    </w:p>
    <w:p>
      <w:pPr>
        <w:pStyle w:val="ListBullet"/>
      </w:pPr>
      <w:r>
        <w:t>9. Cross-Cutting Security, Governance &amp; Operations</w:t>
      </w:r>
    </w:p>
    <w:p>
      <w:r>
        <w:t>The lifecycle flows from left to right through layers 1–8, with a feedback and reprocessing loop returning from retrieval back to source domains. The cross-cutting control plane (layer 9) applies across all layers and is not a sequential step.</w:t>
      </w:r>
    </w:p>
    <w:p>
      <w:r>
        <w:t>Fabric is the standard enterprise access layer for published and governed data products. The Retrieval and Consumption layer supports interactive and latency-sensitive runtime access patterns. These are complementary access models, not alternatives: Fabric serves discovery, governance, and analytical consumption, while Retrieval serves real-time search, RAG, and agentic use cases.</w:t>
      </w:r>
    </w:p>
    <w:p>
      <w:pPr>
        <w:pStyle w:val="Heading1"/>
      </w:pPr>
      <w:r>
        <w:t>6. Layer-by-Layer Description</w:t>
      </w:r>
    </w:p>
    <w:p>
      <w:pPr>
        <w:pStyle w:val="Heading2"/>
      </w:pPr>
      <w:r>
        <w:t>6.1 Source Domains</w:t>
      </w:r>
    </w:p>
    <w:p>
      <w:r>
        <w:t>This layer represents the domains in which content originates. It includes broad source classes rather than individual products so that the architecture remains stable even as implementation technologies change.</w:t>
      </w:r>
    </w:p>
    <w:p>
      <w:r>
        <w:t>The following source classes are recognised:</w:t>
      </w:r>
    </w:p>
    <w:p>
      <w:pPr>
        <w:pStyle w:val="ListBullet"/>
      </w:pPr>
      <w:r>
        <w:t>Internal Knowledge — Documents, wikis, policies, SOPs, and other authored enterprise content (e.g. Confluence, Notion, PDF archives).</w:t>
      </w:r>
    </w:p>
    <w:p>
      <w:pPr>
        <w:pStyle w:val="ListBullet"/>
      </w:pPr>
      <w:r>
        <w:t>Operational Workflow and Cases — Incident records, change requests, workflows, and operational case data (e.g. Jira, ServiceNow, case management systems).</w:t>
      </w:r>
    </w:p>
    <w:p>
      <w:pPr>
        <w:pStyle w:val="ListBullet"/>
      </w:pPr>
      <w:r>
        <w:t>Communication and Collaboration — Email, chat, messaging, and collaboration platform content (e.g. Outlook, Slack, Teams).</w:t>
      </w:r>
    </w:p>
    <w:p>
      <w:pPr>
        <w:pStyle w:val="ListBullet"/>
      </w:pPr>
      <w:r>
        <w:t>Media and Interaction Sources — Audio recordings, video, call transcripts, and other interaction artefacts.</w:t>
      </w:r>
    </w:p>
    <w:p>
      <w:pPr>
        <w:pStyle w:val="ListBullet"/>
      </w:pPr>
      <w:r>
        <w:t>External and Third-Party Content — Regulatory feeds, market data, news, and any content originating outside the enterprise boundary. External content requires explicit trust scoring, licensing and usage-rights validation, provenance assessment, and legal or moderation review before it can be treated as an authoritative source within enterprise AI workflows.</w:t>
      </w:r>
    </w:p>
    <w:p>
      <w:pPr>
        <w:pStyle w:val="ListBullet"/>
      </w:pPr>
      <w:r>
        <w:t>Repository and File Sources — Shared drives, object storage, version control repositories, and content management systems.</w:t>
      </w:r>
    </w:p>
    <w:p>
      <w:pPr>
        <w:pStyle w:val="ListBullet"/>
      </w:pPr>
      <w:r>
        <w:t>Structured Context Sources — Existing structured data sources used to enrich, cross-reference, or contextualise unstructured content during processing. These may include reference data, master data, or analytical outputs from existing enterprise platforms that provide structured context for unstructured content enrichment.</w:t>
      </w:r>
    </w:p>
    <w:p>
      <w:pPr>
        <w:pStyle w:val="Heading2"/>
      </w:pPr>
      <w:r>
        <w:t>6.2 Ingestion &amp; Onboarding</w:t>
      </w:r>
    </w:p>
    <w:p>
      <w:r>
        <w:t>This layer provides the controlled front door through which source content enters the platform. It is the first point of platform governance and establishes ownership, traceability, and routing decisions before content proceeds to downstream processing.</w:t>
      </w:r>
    </w:p>
    <w:p>
      <w:r>
        <w:t>The following capabilities are defined:</w:t>
      </w:r>
    </w:p>
    <w:p>
      <w:r>
        <w:rPr>
          <w:b/>
        </w:rPr>
        <w:t xml:space="preserve">Source Registration and Ownership — </w:t>
      </w:r>
      <w:r>
        <w:t>Every source must be registered with a defined owner, classification, and expected content profile before intake begins.</w:t>
      </w:r>
    </w:p>
    <w:p>
      <w:r>
        <w:rPr>
          <w:b/>
        </w:rPr>
        <w:t xml:space="preserve">Intake Connectors — </w:t>
      </w:r>
      <w:r>
        <w:t>Connector, API, batch, event, stream, or crawler-based intake mechanisms provide the technical integration between source domains and the platform.</w:t>
      </w:r>
    </w:p>
    <w:p>
      <w:r>
        <w:rPr>
          <w:b/>
        </w:rPr>
        <w:t xml:space="preserve">Landing, Validation and Quarantine — </w:t>
      </w:r>
      <w:r>
        <w:t>Incoming content is landed in a raw intake area and validated against expected schemas, formats, and quality thresholds. Content that fails validation is quarantined for exception handling.</w:t>
      </w:r>
    </w:p>
    <w:p>
      <w:r>
        <w:rPr>
          <w:b/>
        </w:rPr>
        <w:t xml:space="preserve">Policy-Aware Routing — </w:t>
      </w:r>
      <w:r>
        <w:t>A key architectural decision point. Content is routed based on sensitivity, trust level, residency constraints, and processing profile. This routing determines which downstream preparation, processing, and persistence paths are applied.</w:t>
      </w:r>
    </w:p>
    <w:p>
      <w:pPr>
        <w:pStyle w:val="Heading2"/>
      </w:pPr>
      <w:r>
        <w:t>6.3 Preparation &amp; Normalisation</w:t>
      </w:r>
    </w:p>
    <w:p>
      <w:r>
        <w:t>This layer converts heterogeneous source artefacts into a canonical, governed content form. It is modality-aware and applies different processing paths depending on content type. The goal is to produce normalised, enriched, classified, and controlled content that is ready for downstream semantic processing, storage, and retrieval.</w:t>
      </w:r>
    </w:p>
    <w:p>
      <w:r>
        <w:t>The following capabilities are defined:</w:t>
      </w:r>
    </w:p>
    <w:p>
      <w:r>
        <w:rPr>
          <w:b/>
        </w:rPr>
        <w:t xml:space="preserve">Format Detection and Modality Routing — </w:t>
      </w:r>
      <w:r>
        <w:t>Identifies the content type and routes it to the appropriate preparation path (document, audio, communication, structured, etc.).</w:t>
      </w:r>
    </w:p>
    <w:p>
      <w:r>
        <w:rPr>
          <w:b/>
        </w:rPr>
        <w:t xml:space="preserve">Extraction Services — </w:t>
      </w:r>
      <w:r>
        <w:t>Includes document parsing, OCR, speech-to-text, thread normalisation, and other modality-specific extraction logic.</w:t>
      </w:r>
    </w:p>
    <w:p>
      <w:r>
        <w:rPr>
          <w:b/>
        </w:rPr>
        <w:t xml:space="preserve">Normalisation and Deduplication — </w:t>
      </w:r>
      <w:r>
        <w:t>Transforms extracted content into a canonical form, resolves duplicates, applies cleaning and canonicalisation rules.</w:t>
      </w:r>
    </w:p>
    <w:p>
      <w:r>
        <w:rPr>
          <w:b/>
        </w:rPr>
        <w:t xml:space="preserve">Metadata Enrichment and Classification — </w:t>
      </w:r>
      <w:r>
        <w:t>Enriches content with metadata, applies classification and categorisation schemes, and captures provenance information.</w:t>
      </w:r>
    </w:p>
    <w:p>
      <w:r>
        <w:rPr>
          <w:b/>
        </w:rPr>
        <w:t xml:space="preserve">Redaction and Sensitive Data Controls — </w:t>
      </w:r>
      <w:r>
        <w:t>Applies PII detection, redaction, and sensitive-data handling in accordance with policy. This is a key control point that must execute before content proceeds to semantic processing.</w:t>
      </w:r>
    </w:p>
    <w:p>
      <w:pPr>
        <w:pStyle w:val="Heading2"/>
      </w:pPr>
      <w:r>
        <w:t>6.4 Orchestration &amp; Semantic Processing</w:t>
      </w:r>
    </w:p>
    <w:p>
      <w:r>
        <w:t>This layer coordinates how content is processed once it has been normalised. It provides both deterministic and AI-enabled processing paths and supports the composable application of chunking, embedding, graph enrichment, and quality assurance capabilities.</w:t>
      </w:r>
    </w:p>
    <w:p>
      <w:r>
        <w:t>The following capabilities are defined:</w:t>
      </w:r>
    </w:p>
    <w:p>
      <w:r>
        <w:rPr>
          <w:b/>
        </w:rPr>
        <w:t xml:space="preserve">Deterministic Workflow Engine — </w:t>
      </w:r>
      <w:r>
        <w:t>The default and preferred processing model. Provides orchestration of processing steps, replay, retry, branching, and human-in-the-loop intervention where required. Deterministic workflows remain the standard execution pattern for all content types unless agentic processing is explicitly justified. The majority of content flows through deterministic orchestration.</w:t>
      </w:r>
    </w:p>
    <w:p>
      <w:r>
        <w:rPr>
          <w:b/>
        </w:rPr>
        <w:t xml:space="preserve">Stateful Agents — </w:t>
      </w:r>
      <w:r>
        <w:t>A specialised execution pattern for scenarios requiring long-running workflows, multi-step reasoning, governed tool use, and persistent execution state. Stateful agents are not the default processing path for all content types — they are used where complexity and reasoning requirements justify the additional overhead and operational cost.</w:t>
      </w:r>
    </w:p>
    <w:p>
      <w:r>
        <w:rPr>
          <w:b/>
        </w:rPr>
        <w:t xml:space="preserve">Chunking and Embedding Generation — </w:t>
      </w:r>
      <w:r>
        <w:t>Produces vector representations of content for downstream semantic retrieval. Applied where semantic search or RAG patterns are required.</w:t>
      </w:r>
    </w:p>
    <w:p>
      <w:r>
        <w:rPr>
          <w:b/>
        </w:rPr>
        <w:t xml:space="preserve">Knowledge Enrichment and Graph Build — </w:t>
      </w:r>
      <w:r>
        <w:t>Extracts entities, relationships, and ontology-aligned structures to populate knowledge graphs. Applied where explicit relationship modelling is required.</w:t>
      </w:r>
    </w:p>
    <w:p>
      <w:r>
        <w:rPr>
          <w:b/>
        </w:rPr>
        <w:t xml:space="preserve">Quality Assurance and Validation — </w:t>
      </w:r>
      <w:r>
        <w:t>Applies automated quality checks, confidence scoring, and validation rules to processing outputs before they are persisted. This capability includes a mandatory human-in-the-loop (HITL) review gate for AI-generated content. In a regulated environment, no AI-generated output may be persisted or published as an authoritative enterprise artefact without human review and approval.</w:t>
      </w:r>
    </w:p>
    <w:p>
      <w:r>
        <w:t>These capabilities are composable. Not all content requires chunking, embedding, graph enrichment, and agentic processing simultaneously. The orchestration layer determines which capabilities are applied based on the content profile, use-case intent, and policy constraints.</w:t>
      </w:r>
    </w:p>
    <w:p>
      <w:pPr>
        <w:pStyle w:val="Heading2"/>
      </w:pPr>
      <w:r>
        <w:t>6.5 Governed AI Integration</w:t>
      </w:r>
    </w:p>
    <w:p>
      <w:r>
        <w:t>This layer supports controlled interaction between orchestration and runtime services and shared AI or enterprise tooling. It provides a governed mediation plane that ensures AI-to-tool and AI-to-service interactions are traceable, authorised, and consistent.</w:t>
      </w:r>
    </w:p>
    <w:p>
      <w:r>
        <w:t>The following capabilities are defined:</w:t>
      </w:r>
    </w:p>
    <w:p>
      <w:r>
        <w:rPr>
          <w:b/>
        </w:rPr>
        <w:t xml:space="preserve">MCP Client — </w:t>
      </w:r>
      <w:r>
        <w:t>The client-side component that allows orchestration and agent runtimes to invoke tools and services through the governed MCP protocol.</w:t>
      </w:r>
    </w:p>
    <w:p>
      <w:r>
        <w:rPr>
          <w:b/>
        </w:rPr>
        <w:t xml:space="preserve">MCP Gateway — </w:t>
      </w:r>
      <w:r>
        <w:t>The mediation layer that routes, authorises, and traces tool and service invocations. Provides the governance boundary for AI-to-tool interaction.</w:t>
      </w:r>
    </w:p>
    <w:p>
      <w:r>
        <w:rPr>
          <w:b/>
        </w:rPr>
        <w:t xml:space="preserve">Shared AI Platform Services — </w:t>
      </w:r>
      <w:r>
        <w:t>Includes access to shared LLMs, embedding models, moderation services, ML models, and other enterprise AI capabilities.</w:t>
      </w:r>
    </w:p>
    <w:p>
      <w:r>
        <w:rPr>
          <w:b/>
        </w:rPr>
        <w:t xml:space="preserve">AI Observability and FinOps — </w:t>
      </w:r>
      <w:r>
        <w:t>Provides cost attribution, usage monitoring, latency tracking, quota enforcement, and model performance observability for all AI service interactions. This is an explicit enterprise control requirement that supports service-level governance, usage accountability across teams, quota awareness, and model governance evidence for regulatory and audit purposes. It is not an operational afterthought but a first-class architectural concern.</w:t>
      </w:r>
    </w:p>
    <w:p>
      <w:r>
        <w:t>MCP is positioned as a governed AI-to-tool and service interaction pattern. It is not the primary mechanism for all data ingestion or enterprise data movement. Its role is to provide controlled access from AI runtimes to tools and services, consistent handling of context and authorisation, and traceability across governed mediation.</w:t>
      </w:r>
    </w:p>
    <w:p>
      <w:pPr>
        <w:pStyle w:val="Heading2"/>
      </w:pPr>
      <w:r>
        <w:t>6.6 Persistence Services</w:t>
      </w:r>
    </w:p>
    <w:p>
      <w:r>
        <w:t>This layer stores the outputs of the platform according to purpose. Each store serves a distinct architectural role and is defined logically rather than as a product-specific deployment statement.</w:t>
      </w:r>
    </w:p>
    <w:p>
      <w:r>
        <w:t>The following logical storage roles are defined:</w:t>
      </w:r>
    </w:p>
    <w:p>
      <w:r>
        <w:rPr>
          <w:b/>
        </w:rPr>
        <w:t xml:space="preserve">Raw and Processed Content Stores — </w:t>
      </w:r>
      <w:r>
        <w:t>Immutable storage of original source artefacts alongside normalised and processed content.</w:t>
      </w:r>
    </w:p>
    <w:p>
      <w:r>
        <w:rPr>
          <w:b/>
        </w:rPr>
        <w:t xml:space="preserve">Metadata and Lineage Store — </w:t>
      </w:r>
      <w:r>
        <w:t>Captures content metadata, processing lineage, provenance chains, and classification data. Local operational metadata and lineage may exist for execution purposes, but enterprise publication and alignment to catalogue and Fabric services is mandatory for end-to-end control and auditability. Isolated local metadata must not become a long-term operating model.</w:t>
      </w:r>
    </w:p>
    <w:p>
      <w:r>
        <w:rPr>
          <w:b/>
        </w:rPr>
        <w:t xml:space="preserve">Analytical / Relational Store — </w:t>
      </w:r>
      <w:r>
        <w:t>Stores structured analytical outputs, derived tables, and relational data products generated from unstructured processing.</w:t>
      </w:r>
    </w:p>
    <w:p>
      <w:r>
        <w:rPr>
          <w:b/>
        </w:rPr>
        <w:t xml:space="preserve">Vector Store — </w:t>
      </w:r>
      <w:r>
        <w:t>Stores embeddings and vector representations for semantic search and retrieval.</w:t>
      </w:r>
    </w:p>
    <w:p>
      <w:r>
        <w:rPr>
          <w:b/>
        </w:rPr>
        <w:t xml:space="preserve">Graph Store — </w:t>
      </w:r>
      <w:r>
        <w:t>Stores knowledge graph entities, relationships, and ontology-aligned structures.</w:t>
      </w:r>
    </w:p>
    <w:p>
      <w:r>
        <w:rPr>
          <w:b/>
        </w:rPr>
        <w:t xml:space="preserve">Session State and Cache — </w:t>
      </w:r>
      <w:r>
        <w:t>Provides short-lived state for agent sessions, retrieval caching, and runtime working memory.</w:t>
      </w:r>
    </w:p>
    <w:p>
      <w:r>
        <w:t>These are logical storage roles. A given deployment may consolidate multiple roles onto a single platform or distribute them across separate services depending on operational and residency requirements.</w:t>
      </w:r>
    </w:p>
    <w:p>
      <w:pPr>
        <w:pStyle w:val="Heading2"/>
      </w:pPr>
      <w:r>
        <w:t>6.7 Fabric / Data Product Access Layer</w:t>
      </w:r>
    </w:p>
    <w:p>
      <w:r>
        <w:t>This layer provides the enterprise-standard access path for published data products derived from the unstructured data platform. It extends the existing enterprise pattern — where structured data products are already exposed through Fabric — to include knowledge graph outputs, curated unstructured products, and analytical outputs generated by this architecture.</w:t>
      </w:r>
    </w:p>
    <w:p>
      <w:r>
        <w:t>Fabric is the standard enterprise access layer for published and governed data products. It serves discovery, governance, versioning, and analytical or batch consumption. It does not replace the Retrieval and Consumption layer, which supports interactive and latency-sensitive runtime access patterns such as semantic search, RAG, and agentic retrieval. The two layers are complementary: Fabric publishes; Retrieval serves.</w:t>
      </w:r>
    </w:p>
    <w:p>
      <w:r>
        <w:t>The following capabilities are defined:</w:t>
      </w:r>
    </w:p>
    <w:p>
      <w:r>
        <w:rPr>
          <w:b/>
        </w:rPr>
        <w:t xml:space="preserve">Structured Analytical Products — </w:t>
      </w:r>
      <w:r>
        <w:t>SQL views, materialised tables, and BI-ready datasets derived from unstructured processing are published through Fabric for enterprise-wide discoverability and consumption.</w:t>
      </w:r>
    </w:p>
    <w:p>
      <w:r>
        <w:rPr>
          <w:b/>
        </w:rPr>
        <w:t xml:space="preserve">Knowledge Graph Products — </w:t>
      </w:r>
      <w:r>
        <w:t>Published graph views, entity APIs, and relationship query endpoints make knowledge graph outputs available as governed data products. Knowledge graph products may be exposed through curated graph-backed APIs, entity and relationship views, or published graph-derived projections depending on consumer needs and governance requirements. The choice of interface — direct graph query, materialised view, or API — is determined by consumer profile and latency expectations.</w:t>
      </w:r>
    </w:p>
    <w:p>
      <w:r>
        <w:rPr>
          <w:b/>
        </w:rPr>
        <w:t xml:space="preserve">Curated Unstructured Products — </w:t>
      </w:r>
      <w:r>
        <w:t>Retrieval-ready views, metadata-driven access, and derived datasets expose curated unstructured content as consumable data products.</w:t>
      </w:r>
    </w:p>
    <w:p>
      <w:r>
        <w:rPr>
          <w:b/>
        </w:rPr>
        <w:t xml:space="preserve">Federation and Cross-Cluster Access — </w:t>
      </w:r>
      <w:r>
        <w:t>A logical federation layer provides cross-cluster connectivity. This is currently backed by Starburst-based federation, but the architecture treats this as a current implementation detail rather than a permanent dependency.</w:t>
      </w:r>
    </w:p>
    <w:p>
      <w:r>
        <w:rPr>
          <w:b/>
        </w:rPr>
        <w:t xml:space="preserve">Data Product Governance — </w:t>
      </w:r>
      <w:r>
        <w:t>Contracts, SLAs, versioning, discoverability, ownership, stewardship, consumer obligations, and release and change control for published products. Every published data product must have a defined owner and steward, explicit consumer obligations, and a governed release and change management process.</w:t>
      </w:r>
    </w:p>
    <w:p>
      <w:r>
        <w:t>Fabric acts as the logical exposure layer for enterprise-wide data product discoverability and governance. It is the standard enterprise access path for structured data products, and this architecture extends that pattern to unstructured and knowledge-derived outputs.</w:t>
      </w:r>
    </w:p>
    <w:p>
      <w:r>
        <w:t>This does not replace direct runtime retrieval paths. Where latency-sensitive retrieval, RAG, or agentic workloads require direct access to vector and graph stores, a direct retrieval path from persistence to the Retrieval and Consumption layer is retained. The Fabric layer and the direct retrieval path are complementary access models.</w:t>
      </w:r>
    </w:p>
    <w:p>
      <w:pPr>
        <w:pStyle w:val="Heading2"/>
      </w:pPr>
      <w:r>
        <w:t>6.8 Retrieval &amp; Consumption</w:t>
      </w:r>
    </w:p>
    <w:p>
      <w:r>
        <w:t>This layer makes processed and governed content usable through runtime retrieval and enterprise application integration. It supports both direct retrieval from persistence stores and access to published data products through the Fabric layer.</w:t>
      </w:r>
    </w:p>
    <w:p>
      <w:r>
        <w:t>The Retrieval and Consumption layer is the runtime access plane. It serves interactive, latency-sensitive use cases — including semantic search, RAG, copilot interactions, and agentic retrieval — where sub-second response times and dynamic query composition are required. Published data product access for analytical or batch consumption is served through the Fabric layer.</w:t>
      </w:r>
    </w:p>
    <w:p>
      <w:r>
        <w:t>The following capabilities are defined:</w:t>
      </w:r>
    </w:p>
    <w:p>
      <w:r>
        <w:rPr>
          <w:b/>
        </w:rPr>
        <w:t xml:space="preserve">Retrieval Orchestration and Hybrid Search — </w:t>
      </w:r>
      <w:r>
        <w:t>Combines vector search, BM25, graph traversal, reranking, and fusion strategies to provide flexible, multi-modal retrieval.</w:t>
      </w:r>
    </w:p>
    <w:p>
      <w:r>
        <w:rPr>
          <w:b/>
        </w:rPr>
        <w:t xml:space="preserve">Retrieval-Time Governance — </w:t>
      </w:r>
      <w:r>
        <w:t>Applies entitlement filtering, policy evaluation, provenance checks, and ranking controls at retrieval time. This is a key control point: no unfiltered or ungoverned access path is permitted.</w:t>
      </w:r>
    </w:p>
    <w:p>
      <w:r>
        <w:rPr>
          <w:b/>
        </w:rPr>
        <w:t xml:space="preserve">Content and Query APIs — </w:t>
      </w:r>
      <w:r>
        <w:t>REST, GraphQL, gRPC, streaming, and WebSocket endpoints expose content for programmatic consumption.</w:t>
      </w:r>
    </w:p>
    <w:p>
      <w:r>
        <w:rPr>
          <w:b/>
        </w:rPr>
        <w:t xml:space="preserve">Assistants, RAG and Agentic Experiences — </w:t>
      </w:r>
      <w:r>
        <w:t>Chatbots, copilots, autonomous agents, and multi-turn conversational experiences consume content through governed retrieval.</w:t>
      </w:r>
    </w:p>
    <w:p>
      <w:r>
        <w:rPr>
          <w:b/>
        </w:rPr>
        <w:t xml:space="preserve">Enterprise Apps and Analytics — </w:t>
      </w:r>
      <w:r>
        <w:t>BI tools, data products, and downstream integrations consume content and analytical outputs.</w:t>
      </w:r>
    </w:p>
    <w:p>
      <w:r>
        <w:t>The retrieval layer coexists with the Fabric layer. Published data products are accessed through Fabric for enterprise-wide discoverability and governance. Runtime retrieval — including semantic search, RAG, and agentic retrieval — accesses persistence stores directly where latency and interactivity requirements demand it. Both access patterns are governed.</w:t>
      </w:r>
    </w:p>
    <w:p>
      <w:pPr>
        <w:pStyle w:val="Heading2"/>
      </w:pPr>
      <w:r>
        <w:t>6.9 Cross-Cutting Security, Governance &amp; Operations</w:t>
      </w:r>
    </w:p>
    <w:p>
      <w:r>
        <w:t>This is the control plane that applies across all layers. It is not a sequential processing step but a set of capabilities that are enforced at every stage of the lifecycle, from ingestion through to retrieval and data product publication.</w:t>
      </w:r>
    </w:p>
    <w:p>
      <w:r>
        <w:t>The following control domains are defined:</w:t>
      </w:r>
    </w:p>
    <w:p>
      <w:pPr>
        <w:pStyle w:val="ListBullet"/>
      </w:pPr>
      <w:r>
        <w:t>Identity and Access — RBAC, ABAC, OAuth2, SSO, and service identity controls.</w:t>
      </w:r>
    </w:p>
    <w:p>
      <w:pPr>
        <w:pStyle w:val="ListBullet"/>
      </w:pPr>
      <w:r>
        <w:t>Policy and DLP — Content policy enforcement, data loss prevention, and classification-based controls.</w:t>
      </w:r>
    </w:p>
    <w:p>
      <w:pPr>
        <w:pStyle w:val="ListBullet"/>
      </w:pPr>
      <w:r>
        <w:t>Lineage and Provenance — End-to-end lineage tracking, provenance chains, and content-origin traceability.</w:t>
      </w:r>
    </w:p>
    <w:p>
      <w:pPr>
        <w:pStyle w:val="ListBullet"/>
      </w:pPr>
      <w:r>
        <w:t>Audit and Observability — Audit logging, platform observability, and operational monitoring.</w:t>
      </w:r>
    </w:p>
    <w:p>
      <w:pPr>
        <w:pStyle w:val="ListBullet"/>
      </w:pPr>
      <w:r>
        <w:t>Encryption and Keys — Encryption at rest and in transit, key management, and cryptographic controls.</w:t>
      </w:r>
    </w:p>
    <w:p>
      <w:pPr>
        <w:pStyle w:val="ListBullet"/>
      </w:pPr>
      <w:r>
        <w:t>Legal and Trust — Legal hold, content trust assessment, usage-rights management, licensing validation, trust scoring, and moderation or legal review for external and public content sources.</w:t>
      </w:r>
    </w:p>
    <w:p>
      <w:pPr>
        <w:pStyle w:val="ListBullet"/>
      </w:pPr>
      <w:r>
        <w:t>Sovereignty and Residency — Data residency enforcement, jurisdictional processing controls, and cross-border constraints.</w:t>
      </w:r>
    </w:p>
    <w:p>
      <w:pPr>
        <w:pStyle w:val="ListBullet"/>
      </w:pPr>
      <w:r>
        <w:t>Runtime Access Governance — Dynamic authorisation and entitlement evaluation at retrieval and API access time, ensuring that runtime access decisions are policy-driven and auditable.</w:t>
      </w:r>
    </w:p>
    <w:p>
      <w:pPr>
        <w:pStyle w:val="ListBullet"/>
      </w:pPr>
      <w:r>
        <w:t>Responsible AI — Bias detection, model governance, content moderation, human-in-the-loop (HITL) review requirements, and ethical AI controls.</w:t>
      </w:r>
    </w:p>
    <w:p>
      <w:pPr>
        <w:pStyle w:val="ListBullet"/>
      </w:pPr>
      <w:r>
        <w:t>IaC and Change Management — Infrastructure-as-code, deployment governance, and change control processes.</w:t>
      </w:r>
    </w:p>
    <w:p>
      <w:pPr>
        <w:pStyle w:val="Heading1"/>
      </w:pPr>
      <w:r>
        <w:t>7. End-to-End Flow Summary</w:t>
      </w:r>
    </w:p>
    <w:p>
      <w:pPr>
        <w:pStyle w:val="ListBullet"/>
      </w:pPr>
      <w:r>
        <w:t>Content originates in one or more enterprise or external source domains.</w:t>
      </w:r>
    </w:p>
    <w:p>
      <w:pPr>
        <w:pStyle w:val="ListBullet"/>
      </w:pPr>
      <w:r>
        <w:t>It is onboarded into the platform through controlled ingestion and intake patterns.</w:t>
      </w:r>
    </w:p>
    <w:p>
      <w:pPr>
        <w:pStyle w:val="ListBullet"/>
      </w:pPr>
      <w:r>
        <w:t>It is prepared and normalised according to modality and content type.</w:t>
      </w:r>
    </w:p>
    <w:p>
      <w:pPr>
        <w:pStyle w:val="ListBullet"/>
      </w:pPr>
      <w:r>
        <w:t>It is processed through deterministic workflows — the default and preferred execution model — and, where explicitly justified, stateful agent patterns and semantic services.</w:t>
      </w:r>
    </w:p>
    <w:p>
      <w:pPr>
        <w:pStyle w:val="ListBullet"/>
      </w:pPr>
      <w:r>
        <w:t>It interacts with AI services and tools through governed integration mechanisms.</w:t>
      </w:r>
    </w:p>
    <w:p>
      <w:pPr>
        <w:pStyle w:val="ListBullet"/>
      </w:pPr>
      <w:r>
        <w:t>AI-generated outputs pass through a mandatory human-in-the-loop (HITL) review gate before persistence or publication as authoritative content.</w:t>
      </w:r>
    </w:p>
    <w:p>
      <w:pPr>
        <w:pStyle w:val="ListBullet"/>
      </w:pPr>
      <w:r>
        <w:t>It is stored in role-specific persistence services.</w:t>
      </w:r>
    </w:p>
    <w:p>
      <w:pPr>
        <w:pStyle w:val="ListBullet"/>
      </w:pPr>
      <w:r>
        <w:t>Governed data products — including structured analytical outputs, knowledge graph products, and curated unstructured content — are published through the enterprise Fabric layer for standardised access and discoverability.</w:t>
      </w:r>
    </w:p>
    <w:p>
      <w:pPr>
        <w:pStyle w:val="ListBullet"/>
      </w:pPr>
      <w:r>
        <w:t>Runtime retrieval, search, RAG, and agentic experiences consume content through governed retrieval and API layers, accessing persistence directly where latency requires it.</w:t>
      </w:r>
    </w:p>
    <w:p>
      <w:pPr>
        <w:pStyle w:val="ListBullet"/>
      </w:pPr>
      <w:r>
        <w:t>Security, governance, lineage, and operational controls apply throughout the lifecycle.</w:t>
      </w:r>
    </w:p>
    <w:p>
      <w:pPr>
        <w:pStyle w:val="Heading1"/>
      </w:pPr>
      <w:r>
        <w:t>8. Dual Access Model</w:t>
      </w:r>
    </w:p>
    <w:p>
      <w:r>
        <w:t>The architecture explicitly supports two complementary access patterns for downstream consumption. These are not alternatives; they serve different consumer profiles and access characteristics.</w:t>
      </w:r>
    </w:p>
    <w:p>
      <w:pPr>
        <w:pStyle w:val="Heading2"/>
      </w:pPr>
      <w:r>
        <w:t>8.1 Published Data Product Access (Fabric)</w:t>
      </w:r>
    </w:p>
    <w:p>
      <w:r>
        <w:t>For analytical consumption, BI, enterprise reporting, and scenarios where consumers require discoverable, governed, and versioned data products, access is routed through the Fabric / Data Product Access Layer. This is the standard enterprise access path and aligns with the existing pattern for structured data products.</w:t>
      </w:r>
    </w:p>
    <w:p>
      <w:r>
        <w:t>Fabric serves: discovery, governance, versioning, contracts, SLAs, and analytical or batch consumption. It publishes products; it does not provide interactive or real-time query services.</w:t>
      </w:r>
    </w:p>
    <w:p>
      <w:pPr>
        <w:pStyle w:val="Heading2"/>
      </w:pPr>
      <w:r>
        <w:t>8.2 Direct Runtime Retrieval</w:t>
      </w:r>
    </w:p>
    <w:p>
      <w:r>
        <w:t>For latency-sensitive use cases — including semantic search, RAG, copilot experiences, agentic retrieval, and real-time conversational interactions — the architecture retains a direct retrieval path from persistence stores to the Retrieval and Consumption layer. This path is still governed through retrieval-time entitlement, policy, and provenance controls.</w:t>
      </w:r>
    </w:p>
    <w:p>
      <w:r>
        <w:t>Retrieval serves: interactive search, real-time RAG, agentic tool retrieval, and sub-second query-response cycles. It consumes content directly from persistence stores; it does not publish or version data products.</w:t>
      </w:r>
    </w:p>
    <w:p>
      <w:r>
        <w:t>Both access patterns are architecturally valid and governed. The choice between them depends on the consumer profile, latency requirements, and whether the use case requires interactive retrieval or batch/analytical consumption.</w:t>
      </w:r>
    </w:p>
    <w:p>
      <w:pPr>
        <w:pStyle w:val="Heading1"/>
      </w:pPr>
      <w:r>
        <w:t>9. Positioning of MCP and Stateful Agents</w:t>
      </w:r>
    </w:p>
    <w:p>
      <w:pPr>
        <w:pStyle w:val="Heading2"/>
      </w:pPr>
      <w:r>
        <w:t>9.1 MCP</w:t>
      </w:r>
    </w:p>
    <w:p>
      <w:r>
        <w:t>MCP is positioned as part of the governed integration layer. Its role is to provide controlled access from AI runtimes to tools and services, consistent handling of context and authorisation, and traceability and governed mediation. It should not be interpreted as the integration pattern for all ingestion or enterprise data movement.</w:t>
      </w:r>
    </w:p>
    <w:p>
      <w:pPr>
        <w:pStyle w:val="Heading2"/>
      </w:pPr>
      <w:r>
        <w:t>9.2 Stateful Agents</w:t>
      </w:r>
    </w:p>
    <w:p>
      <w:r>
        <w:t>Stateful agents are positioned as part of the orchestration and execution model. They are intended for long-running workflows, multi-step reasoning, governed tool usage, and scenarios where execution state must persist. They are not assumed to be the default processing path for all content types. Deterministic workflows remain the preferred and default execution model; stateful agents are employed only where the complexity of the task clearly justifies the additional overhead.</w:t>
      </w:r>
    </w:p>
    <w:p>
      <w:pPr>
        <w:pStyle w:val="Heading1"/>
      </w:pPr>
      <w:r>
        <w:t>10. Mapping to Current Use Cases</w:t>
      </w:r>
    </w:p>
    <w:p>
      <w:pPr>
        <w:pStyle w:val="Heading2"/>
      </w:pPr>
      <w:r>
        <w:t>Codifying the Bank</w:t>
      </w:r>
    </w:p>
    <w:p>
      <w:r>
        <w:t>Provides strong patterns for stateful orchestration, MCP-based integration, graph and vector use together, workflow-led knowledge processing, and Fabric-based publication of knowledge graph and analytical products.</w:t>
      </w:r>
    </w:p>
    <w:p>
      <w:pPr>
        <w:pStyle w:val="Heading2"/>
      </w:pPr>
      <w:r>
        <w:t>Voice / Audio Use Cases</w:t>
      </w:r>
    </w:p>
    <w:p>
      <w:r>
        <w:t>Provides strong patterns for audio ingestion, speech-to-text and transcript handling, sensitive-content controls, and structured downstream serving.</w:t>
      </w:r>
    </w:p>
    <w:p>
      <w:pPr>
        <w:pStyle w:val="Heading2"/>
      </w:pPr>
      <w:r>
        <w:t>Knowledge Management / Managed Content Patterns</w:t>
      </w:r>
    </w:p>
    <w:p>
      <w:r>
        <w:t>Provides strong patterns for managed content retrieval, metadata/content separation, caching/session behaviour, governed AI interaction, and publication of curated unstructured data products through Fabric.</w:t>
      </w:r>
    </w:p>
    <w:p>
      <w:r>
        <w:t>The reference architecture generalises these patterns into a shared enterprise capability model while avoiding direct coupling to any single project design.</w:t>
      </w:r>
    </w:p>
    <w:p>
      <w:pPr>
        <w:pStyle w:val="Heading1"/>
      </w:pPr>
      <w:r>
        <w:t>11. Current Assumptions and Constraints</w:t>
      </w:r>
    </w:p>
    <w:p>
      <w:pPr>
        <w:pStyle w:val="ListBullet"/>
      </w:pPr>
      <w:r>
        <w:t>The platform must support heterogeneous source types.</w:t>
      </w:r>
    </w:p>
    <w:p>
      <w:pPr>
        <w:pStyle w:val="ListBullet"/>
      </w:pPr>
      <w:r>
        <w:t>Fabric is already the enterprise standard for structured data product access. Unstructured and knowledge-derived outputs will now be exposed through the same logical access layer.</w:t>
      </w:r>
    </w:p>
    <w:p>
      <w:pPr>
        <w:pStyle w:val="ListBullet"/>
      </w:pPr>
      <w:r>
        <w:t>Federation and cross-cluster connectivity are currently backed by Starburst, but the architecture treats this as a current implementation rather than a permanent architectural dependency.</w:t>
      </w:r>
    </w:p>
    <w:p>
      <w:pPr>
        <w:pStyle w:val="ListBullet"/>
      </w:pPr>
      <w:r>
        <w:t>Processing and storage may be federated across cloud and on-prem environments.</w:t>
      </w:r>
    </w:p>
    <w:p>
      <w:pPr>
        <w:pStyle w:val="ListBullet"/>
      </w:pPr>
      <w:r>
        <w:t>Some content may require restricted routing and cannot use all shared AI services.</w:t>
      </w:r>
    </w:p>
    <w:p>
      <w:pPr>
        <w:pStyle w:val="ListBullet"/>
      </w:pPr>
      <w:r>
        <w:t>Not all use cases will need graph, vector, and agentic processing simultaneously.</w:t>
      </w:r>
    </w:p>
    <w:p>
      <w:pPr>
        <w:pStyle w:val="ListBullet"/>
      </w:pPr>
      <w:r>
        <w:t>Local operational metadata and lineage may exist for execution purposes, but enterprise alignment to catalogue and Fabric services is mandatory and must be achieved within a defined timeframe.</w:t>
      </w:r>
    </w:p>
    <w:p>
      <w:pPr>
        <w:pStyle w:val="ListBullet"/>
      </w:pPr>
      <w:r>
        <w:t>This initial version is a draft logical reference architecture, not a final target-state deployment design.</w:t>
      </w:r>
    </w:p>
    <w:p>
      <w:pPr>
        <w:pStyle w:val="Heading1"/>
      </w:pPr>
      <w:r>
        <w:t>12. What This Initial Version Is Intended to Support</w:t>
      </w:r>
    </w:p>
    <w:p>
      <w:pPr>
        <w:pStyle w:val="ListBullet"/>
      </w:pPr>
      <w:r>
        <w:t>Capability alignment across use cases</w:t>
      </w:r>
    </w:p>
    <w:p>
      <w:pPr>
        <w:pStyle w:val="ListBullet"/>
      </w:pPr>
      <w:r>
        <w:t>Initial reference architecture review</w:t>
      </w:r>
    </w:p>
    <w:p>
      <w:pPr>
        <w:pStyle w:val="ListBullet"/>
      </w:pPr>
      <w:r>
        <w:t>Structured gap assessment</w:t>
      </w:r>
    </w:p>
    <w:p>
      <w:pPr>
        <w:pStyle w:val="ListBullet"/>
      </w:pPr>
      <w:r>
        <w:t>Identification of shared enterprise patterns</w:t>
      </w:r>
    </w:p>
    <w:p>
      <w:pPr>
        <w:pStyle w:val="ListBullet"/>
      </w:pPr>
      <w:r>
        <w:t>Clearer separation of shared services from use-case-specific workflows</w:t>
      </w:r>
    </w:p>
    <w:p>
      <w:pPr>
        <w:pStyle w:val="ListBullet"/>
      </w:pPr>
      <w:r>
        <w:t>Alignment of unstructured data product publication with the existing Fabric-based enterprise access model</w:t>
      </w:r>
    </w:p>
    <w:p>
      <w:pPr>
        <w:pStyle w:val="ListBullet"/>
      </w:pPr>
      <w:r>
        <w:t>Future refinement into a more detailed architect view and modality-specific swimlane diagrams</w:t>
      </w:r>
    </w:p>
    <w:p>
      <w:pPr>
        <w:pStyle w:val="Heading1"/>
      </w:pPr>
      <w:r>
        <w:t>13. Summary</w:t>
      </w:r>
    </w:p>
    <w:p>
      <w:r>
        <w:t>The reference architecture provides the shared enterprise view of how unstructured data can be onboarded, processed, governed, stored, published, and consumed across a broad range of AI use cases. Its value is in establishing a common architecture language across:</w:t>
      </w:r>
    </w:p>
    <w:p>
      <w:pPr>
        <w:pStyle w:val="ListBullet"/>
      </w:pPr>
      <w:r>
        <w:t>Heterogeneous source domains</w:t>
      </w:r>
    </w:p>
    <w:p>
      <w:pPr>
        <w:pStyle w:val="ListBullet"/>
      </w:pPr>
      <w:r>
        <w:t>Modality-aware preparation and normalisation</w:t>
      </w:r>
    </w:p>
    <w:p>
      <w:pPr>
        <w:pStyle w:val="ListBullet"/>
      </w:pPr>
      <w:r>
        <w:t>Deterministic-first orchestration with composable agentic patterns</w:t>
      </w:r>
    </w:p>
    <w:p>
      <w:pPr>
        <w:pStyle w:val="ListBullet"/>
      </w:pPr>
      <w:r>
        <w:t>Governed AI integration with explicit observability and cost controls</w:t>
      </w:r>
    </w:p>
    <w:p>
      <w:pPr>
        <w:pStyle w:val="ListBullet"/>
      </w:pPr>
      <w:r>
        <w:t>Role-specific persistence</w:t>
      </w:r>
    </w:p>
    <w:p>
      <w:pPr>
        <w:pStyle w:val="ListBullet"/>
      </w:pPr>
      <w:r>
        <w:t>Enterprise data product publication through Fabric</w:t>
      </w:r>
    </w:p>
    <w:p>
      <w:pPr>
        <w:pStyle w:val="ListBullet"/>
      </w:pPr>
      <w:r>
        <w:t>Governed runtime retrieval and consumption</w:t>
      </w:r>
    </w:p>
    <w:p>
      <w:pPr>
        <w:pStyle w:val="ListBullet"/>
      </w:pPr>
      <w:r>
        <w:t>Cross-cutting security, governance, and operational controls</w:t>
      </w:r>
    </w:p>
    <w:p>
      <w:r>
        <w:t>This version introduces Fabric as a formal architecture layer, establishing a dual access model that supports both published data product consumption and direct runtime retrieval. This aligns the unstructured data architecture with the enterprise-standard access pattern already in place for structured data.</w:t>
      </w:r>
    </w:p>
    <w:p>
      <w:r>
        <w:t>This initial version provides the architectural baseline needed to move from fragmented, use-case-led delivery patterns toward a more consistent and reusable enterprise model.</w:t>
      </w:r>
    </w:p>
    <w:p>
      <w:pPr>
        <w:pStyle w:val="Heading1"/>
      </w:pPr>
      <w:r>
        <w:t>Appendix A. Reference Architecture Diagram</w:t>
      </w:r>
    </w:p>
    <w:p>
      <w:r>
        <w:t>The reference architecture diagram provides the logical view of how heterogeneous unstructured and semi-structured content is onboarded from multiple source domains, prepared and normalised into a canonical governed content form, processed through deterministic and AI-enabled workflows, integrated with shared AI and tool services in a governed way, persisted across role-specific storage services, published as governed data products through the enterprise Fabric layer, and exposed for retrieval, analytics, and downstream business use.</w:t>
      </w:r>
    </w:p>
    <w:p>
      <w:r>
        <w:t>The architecture follows a left-to-right lifecycle across nine layers:</w:t>
      </w:r>
    </w:p>
    <w:p>
      <w:pPr>
        <w:pStyle w:val="ListBullet"/>
      </w:pPr>
      <w:r>
        <w:t>01 — Source Domains</w:t>
      </w:r>
    </w:p>
    <w:p>
      <w:pPr>
        <w:pStyle w:val="ListBullet"/>
      </w:pPr>
      <w:r>
        <w:t>02 — Ingestion &amp; Onboarding</w:t>
      </w:r>
    </w:p>
    <w:p>
      <w:pPr>
        <w:pStyle w:val="ListBullet"/>
      </w:pPr>
      <w:r>
        <w:t>03 — Preparation &amp; Normalisation</w:t>
      </w:r>
    </w:p>
    <w:p>
      <w:pPr>
        <w:pStyle w:val="ListBullet"/>
      </w:pPr>
      <w:r>
        <w:t>04 — Orchestration &amp; Semantic Processing</w:t>
      </w:r>
    </w:p>
    <w:p>
      <w:pPr>
        <w:pStyle w:val="ListBullet"/>
      </w:pPr>
      <w:r>
        <w:t>05 — Governed AI Integration</w:t>
      </w:r>
    </w:p>
    <w:p>
      <w:pPr>
        <w:pStyle w:val="ListBullet"/>
      </w:pPr>
      <w:r>
        <w:t>06 — Persistence Services</w:t>
      </w:r>
    </w:p>
    <w:p>
      <w:pPr>
        <w:pStyle w:val="ListBullet"/>
      </w:pPr>
      <w:r>
        <w:t>07 — Fabric / Data Product Access Layer</w:t>
      </w:r>
    </w:p>
    <w:p>
      <w:pPr>
        <w:pStyle w:val="ListBullet"/>
      </w:pPr>
      <w:r>
        <w:t>08 — Retrieval &amp; Consumption</w:t>
      </w:r>
    </w:p>
    <w:p>
      <w:pPr>
        <w:pStyle w:val="ListBullet"/>
      </w:pPr>
      <w:r>
        <w:t>09 — Cross-Cutting Security, Governance &amp; Operations (control plane)</w:t>
      </w:r>
    </w:p>
    <w:p>
      <w:r>
        <w:t>This version should be read as a logical enterprise capability view rather than a product-specific or deployment-specific architecture.</w:t>
      </w:r>
    </w:p>
    <w:p>
      <w:pPr>
        <w:pStyle w:val="Heading1"/>
      </w:pPr>
      <w:r>
        <w:t>Appendix B. Policy and Routing Rules Examples</w:t>
      </w:r>
    </w:p>
    <w:p>
      <w:r>
        <w:t>Policy and routing rules provide the decision logic that determines how different content types are handled across the platform. These rules allow the platform to route content differently based on source, modality, sensitivity, trust level, residency constraints, and intended use.</w:t>
      </w:r>
    </w:p>
    <w:p>
      <w:r>
        <w:t>A policy document, a Jira ticket, a customer call transcript, and an external social media post should not all follow the same path. Policy and routing rules ensure each content type is processed, controlled, stored, published, and exposed in the right 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Rule Category</w:t>
            </w:r>
          </w:p>
        </w:tc>
        <w:tc>
          <w:tcPr>
            <w:tcW w:type="dxa" w:w="2160"/>
          </w:tcPr>
          <w:p>
            <w:r>
              <w:t>Example Trigger</w:t>
            </w:r>
          </w:p>
        </w:tc>
        <w:tc>
          <w:tcPr>
            <w:tcW w:type="dxa" w:w="2160"/>
          </w:tcPr>
          <w:p>
            <w:r>
              <w:t>Routing / Policy Action</w:t>
            </w:r>
          </w:p>
        </w:tc>
        <w:tc>
          <w:tcPr>
            <w:tcW w:type="dxa" w:w="2160"/>
          </w:tcPr>
          <w:p>
            <w:r>
              <w:t>Purpose</w:t>
            </w:r>
          </w:p>
        </w:tc>
      </w:tr>
      <w:tr>
        <w:tc>
          <w:tcPr>
            <w:tcW w:type="dxa" w:w="2160"/>
          </w:tcPr>
          <w:p>
            <w:r>
              <w:t>Sensitivity</w:t>
            </w:r>
          </w:p>
        </w:tc>
        <w:tc>
          <w:tcPr>
            <w:tcW w:type="dxa" w:w="2160"/>
          </w:tcPr>
          <w:p>
            <w:r>
              <w:t>Content classified as highly restricted</w:t>
            </w:r>
          </w:p>
        </w:tc>
        <w:tc>
          <w:tcPr>
            <w:tcW w:type="dxa" w:w="2160"/>
          </w:tcPr>
          <w:p>
            <w:r>
              <w:t>Route to restricted processing path; block shared embedding or external model use</w:t>
            </w:r>
          </w:p>
        </w:tc>
        <w:tc>
          <w:tcPr>
            <w:tcW w:type="dxa" w:w="2160"/>
          </w:tcPr>
          <w:p>
            <w:r>
              <w:t>Protect sensitive content</w:t>
            </w:r>
          </w:p>
        </w:tc>
      </w:tr>
      <w:tr>
        <w:tc>
          <w:tcPr>
            <w:tcW w:type="dxa" w:w="2160"/>
          </w:tcPr>
          <w:p>
            <w:r>
              <w:t>Source trust</w:t>
            </w:r>
          </w:p>
        </w:tc>
        <w:tc>
          <w:tcPr>
            <w:tcW w:type="dxa" w:w="2160"/>
          </w:tcPr>
          <w:p>
            <w:r>
              <w:t>Content from external web or social source</w:t>
            </w:r>
          </w:p>
        </w:tc>
        <w:tc>
          <w:tcPr>
            <w:tcW w:type="dxa" w:w="2160"/>
          </w:tcPr>
          <w:p>
            <w:r>
              <w:t>Apply provenance tagging, trust scoring, licensing validation, moderation, and optional human/legal review</w:t>
            </w:r>
          </w:p>
        </w:tc>
        <w:tc>
          <w:tcPr>
            <w:tcW w:type="dxa" w:w="2160"/>
          </w:tcPr>
          <w:p>
            <w:r>
              <w:t>Prevent untrusted content from being treated as authoritative</w:t>
            </w:r>
          </w:p>
        </w:tc>
      </w:tr>
      <w:tr>
        <w:tc>
          <w:tcPr>
            <w:tcW w:type="dxa" w:w="2160"/>
          </w:tcPr>
          <w:p>
            <w:r>
              <w:t>Modality</w:t>
            </w:r>
          </w:p>
        </w:tc>
        <w:tc>
          <w:tcPr>
            <w:tcW w:type="dxa" w:w="2160"/>
          </w:tcPr>
          <w:p>
            <w:r>
              <w:t>Audio or call recording detected</w:t>
            </w:r>
          </w:p>
        </w:tc>
        <w:tc>
          <w:tcPr>
            <w:tcW w:type="dxa" w:w="2160"/>
          </w:tcPr>
          <w:p>
            <w:r>
              <w:t>Route through speech-to-text, segmentation, redaction, then downstream processing</w:t>
            </w:r>
          </w:p>
        </w:tc>
        <w:tc>
          <w:tcPr>
            <w:tcW w:type="dxa" w:w="2160"/>
          </w:tcPr>
          <w:p>
            <w:r>
              <w:t>Ensure correct modality-specific preparation</w:t>
            </w:r>
          </w:p>
        </w:tc>
      </w:tr>
      <w:tr>
        <w:tc>
          <w:tcPr>
            <w:tcW w:type="dxa" w:w="2160"/>
          </w:tcPr>
          <w:p>
            <w:r>
              <w:t>Document type</w:t>
            </w:r>
          </w:p>
        </w:tc>
        <w:tc>
          <w:tcPr>
            <w:tcW w:type="dxa" w:w="2160"/>
          </w:tcPr>
          <w:p>
            <w:r>
              <w:t>Scanned PDF or image-based document</w:t>
            </w:r>
          </w:p>
        </w:tc>
        <w:tc>
          <w:tcPr>
            <w:tcW w:type="dxa" w:w="2160"/>
          </w:tcPr>
          <w:p>
            <w:r>
              <w:t>Route through OCR and structure extraction before normalisation</w:t>
            </w:r>
          </w:p>
        </w:tc>
        <w:tc>
          <w:tcPr>
            <w:tcW w:type="dxa" w:w="2160"/>
          </w:tcPr>
          <w:p>
            <w:r>
              <w:t>Make non-born-digital content usable</w:t>
            </w:r>
          </w:p>
        </w:tc>
      </w:tr>
      <w:tr>
        <w:tc>
          <w:tcPr>
            <w:tcW w:type="dxa" w:w="2160"/>
          </w:tcPr>
          <w:p>
            <w:r>
              <w:t>Communication content</w:t>
            </w:r>
          </w:p>
        </w:tc>
        <w:tc>
          <w:tcPr>
            <w:tcW w:type="dxa" w:w="2160"/>
          </w:tcPr>
          <w:p>
            <w:r>
              <w:t>Email or chat thread</w:t>
            </w:r>
          </w:p>
        </w:tc>
        <w:tc>
          <w:tcPr>
            <w:tcW w:type="dxa" w:w="2160"/>
          </w:tcPr>
          <w:p>
            <w:r>
              <w:t>Route through thread or attachment normalisation and PII checks</w:t>
            </w:r>
          </w:p>
        </w:tc>
        <w:tc>
          <w:tcPr>
            <w:tcW w:type="dxa" w:w="2160"/>
          </w:tcPr>
          <w:p>
            <w:r>
              <w:t>Preserve conversation context and apply controls</w:t>
            </w:r>
          </w:p>
        </w:tc>
      </w:tr>
      <w:tr>
        <w:tc>
          <w:tcPr>
            <w:tcW w:type="dxa" w:w="2160"/>
          </w:tcPr>
          <w:p>
            <w:r>
              <w:t>Jurisdiction / residency</w:t>
            </w:r>
          </w:p>
        </w:tc>
        <w:tc>
          <w:tcPr>
            <w:tcW w:type="dxa" w:w="2160"/>
          </w:tcPr>
          <w:p>
            <w:r>
              <w:t>Source subject to regional processing restrictions</w:t>
            </w:r>
          </w:p>
        </w:tc>
        <w:tc>
          <w:tcPr>
            <w:tcW w:type="dxa" w:w="2160"/>
          </w:tcPr>
          <w:p>
            <w:r>
              <w:t>Keep content and derived outputs in approved environment</w:t>
            </w:r>
          </w:p>
        </w:tc>
        <w:tc>
          <w:tcPr>
            <w:tcW w:type="dxa" w:w="2160"/>
          </w:tcPr>
          <w:p>
            <w:r>
              <w:t>Enforce residency and sovereignty requirements</w:t>
            </w:r>
          </w:p>
        </w:tc>
      </w:tr>
      <w:tr>
        <w:tc>
          <w:tcPr>
            <w:tcW w:type="dxa" w:w="2160"/>
          </w:tcPr>
          <w:p>
            <w:r>
              <w:t>Use-case intent</w:t>
            </w:r>
          </w:p>
        </w:tc>
        <w:tc>
          <w:tcPr>
            <w:tcW w:type="dxa" w:w="2160"/>
          </w:tcPr>
          <w:p>
            <w:r>
              <w:t>Analytics-only use case</w:t>
            </w:r>
          </w:p>
        </w:tc>
        <w:tc>
          <w:tcPr>
            <w:tcW w:type="dxa" w:w="2160"/>
          </w:tcPr>
          <w:p>
            <w:r>
              <w:t>Route to structured transformation and analytical store; skip vector or graph if not needed</w:t>
            </w:r>
          </w:p>
        </w:tc>
        <w:tc>
          <w:tcPr>
            <w:tcW w:type="dxa" w:w="2160"/>
          </w:tcPr>
          <w:p>
            <w:r>
              <w:t>Avoid unnecessary processing</w:t>
            </w:r>
          </w:p>
        </w:tc>
      </w:tr>
      <w:tr>
        <w:tc>
          <w:tcPr>
            <w:tcW w:type="dxa" w:w="2160"/>
          </w:tcPr>
          <w:p>
            <w:r>
              <w:t>Knowledge enrichment need</w:t>
            </w:r>
          </w:p>
        </w:tc>
        <w:tc>
          <w:tcPr>
            <w:tcW w:type="dxa" w:w="2160"/>
          </w:tcPr>
          <w:p>
            <w:r>
              <w:t>Relationship-rich business knowledge detected</w:t>
            </w:r>
          </w:p>
        </w:tc>
        <w:tc>
          <w:tcPr>
            <w:tcW w:type="dxa" w:w="2160"/>
          </w:tcPr>
          <w:p>
            <w:r>
              <w:t>Route extracted entities and relations to graph build</w:t>
            </w:r>
          </w:p>
        </w:tc>
        <w:tc>
          <w:tcPr>
            <w:tcW w:type="dxa" w:w="2160"/>
          </w:tcPr>
          <w:p>
            <w:r>
              <w:t>Support explicit knowledge modelling</w:t>
            </w:r>
          </w:p>
        </w:tc>
      </w:tr>
      <w:tr>
        <w:tc>
          <w:tcPr>
            <w:tcW w:type="dxa" w:w="2160"/>
          </w:tcPr>
          <w:p>
            <w:r>
              <w:t>Semantic retrieval need</w:t>
            </w:r>
          </w:p>
        </w:tc>
        <w:tc>
          <w:tcPr>
            <w:tcW w:type="dxa" w:w="2160"/>
          </w:tcPr>
          <w:p>
            <w:r>
              <w:t>Search or RAG use case</w:t>
            </w:r>
          </w:p>
        </w:tc>
        <w:tc>
          <w:tcPr>
            <w:tcW w:type="dxa" w:w="2160"/>
          </w:tcPr>
          <w:p>
            <w:r>
              <w:t>Route to chunking, embeddings, and retrieval indexing</w:t>
            </w:r>
          </w:p>
        </w:tc>
        <w:tc>
          <w:tcPr>
            <w:tcW w:type="dxa" w:w="2160"/>
          </w:tcPr>
          <w:p>
            <w:r>
              <w:t>Support semantic retrieval</w:t>
            </w:r>
          </w:p>
        </w:tc>
      </w:tr>
      <w:tr>
        <w:tc>
          <w:tcPr>
            <w:tcW w:type="dxa" w:w="2160"/>
          </w:tcPr>
          <w:p>
            <w:r>
              <w:t>Low confidence / high risk</w:t>
            </w:r>
          </w:p>
        </w:tc>
        <w:tc>
          <w:tcPr>
            <w:tcW w:type="dxa" w:w="2160"/>
          </w:tcPr>
          <w:p>
            <w:r>
              <w:t>Extraction confidence below threshold or source risk high</w:t>
            </w:r>
          </w:p>
        </w:tc>
        <w:tc>
          <w:tcPr>
            <w:tcW w:type="dxa" w:w="2160"/>
          </w:tcPr>
          <w:p>
            <w:r>
              <w:t>Route to exception queue or human review</w:t>
            </w:r>
          </w:p>
        </w:tc>
        <w:tc>
          <w:tcPr>
            <w:tcW w:type="dxa" w:w="2160"/>
          </w:tcPr>
          <w:p>
            <w:r>
              <w:t>Improve quality and reduce automated risk</w:t>
            </w:r>
          </w:p>
        </w:tc>
      </w:tr>
    </w:tbl>
    <w:p>
      <w:pPr>
        <w:pStyle w:val="Heading1"/>
      </w:pPr>
      <w:r>
        <w:t>Appendix C. Open Questions / Next Refinements</w:t>
      </w:r>
    </w:p>
    <w:p>
      <w:pPr>
        <w:pStyle w:val="ListBullet"/>
      </w:pPr>
      <w:r>
        <w:t>Metadata and lineage integration: what is the target timeline for aligning local operational metadata and lineage with enterprise catalogue and Fabric services?</w:t>
      </w:r>
    </w:p>
    <w:p>
      <w:pPr>
        <w:pStyle w:val="ListBullet"/>
      </w:pPr>
      <w:r>
        <w:t>Federated deployment model: which capabilities are expected to be centralised, and which are expected to be cloud-local, region-local, or on-prem?</w:t>
      </w:r>
    </w:p>
    <w:p>
      <w:pPr>
        <w:pStyle w:val="ListBullet"/>
      </w:pPr>
      <w:r>
        <w:t>Restricted-content processing paths: what are the approved processing paths for highly restricted content, especially for audio, transcripts, email, and case-based records?</w:t>
      </w:r>
    </w:p>
    <w:p>
      <w:pPr>
        <w:pStyle w:val="ListBullet"/>
      </w:pPr>
      <w:r>
        <w:t>MCP scope and operating model: which use cases require MCP-based governed tool interaction, and where should simpler integration patterns remain sufficient?</w:t>
      </w:r>
    </w:p>
    <w:p>
      <w:pPr>
        <w:pStyle w:val="ListBullet"/>
      </w:pPr>
      <w:r>
        <w:t>Stateful agent usage criteria: what criteria should be used to decide when stateful agent execution is justified versus deterministic orchestration?</w:t>
      </w:r>
    </w:p>
    <w:p>
      <w:pPr>
        <w:pStyle w:val="ListBullet"/>
      </w:pPr>
      <w:r>
        <w:t>Graph versus vector decision model: what rules should govern when graph, vector, or both are used for a given use case?</w:t>
      </w:r>
    </w:p>
    <w:p>
      <w:pPr>
        <w:pStyle w:val="ListBullet"/>
      </w:pPr>
      <w:r>
        <w:t>External content controls: what trust scoring, licensing, legal, moderation, and provenance standards are required before external/public content can be used in enterprise AI scenarios?</w:t>
      </w:r>
    </w:p>
    <w:p>
      <w:pPr>
        <w:pStyle w:val="ListBullet"/>
      </w:pPr>
      <w:r>
        <w:t>Retrieval-time governance model: what standard entitlement, policy, provenance, and ranking controls should apply consistently across retrieval use cases?</w:t>
      </w:r>
    </w:p>
    <w:p>
      <w:pPr>
        <w:pStyle w:val="ListBullet"/>
      </w:pPr>
      <w:r>
        <w:t>Shared service boundaries: which capabilities should become shared enterprise services and which should remain use-case-local patterns?</w:t>
      </w:r>
    </w:p>
    <w:p>
      <w:pPr>
        <w:pStyle w:val="ListBullet"/>
      </w:pPr>
      <w:r>
        <w:t>Fabric publication scope: which data products derived from unstructured processing should be published through Fabric, and what are the criteria for inclusion versus direct retrieval access?</w:t>
      </w:r>
    </w:p>
    <w:p>
      <w:pPr>
        <w:pStyle w:val="ListBullet"/>
      </w:pPr>
      <w:r>
        <w:t>Knowledge Graph product interface model: should graph products be exposed through curated graph-backed APIs, entity and relationship views, materialised projections, or a combination — and what determines the choice?</w:t>
      </w:r>
    </w:p>
    <w:p>
      <w:pPr>
        <w:pStyle w:val="ListBullet"/>
      </w:pPr>
      <w:r>
        <w:t>Curated unstructured product governance: what governance model (ownership, stewardship, contracts, SLAs, consumer obligations, versioning, release control) should apply to curated unstructured data products published through Fabric?</w:t>
      </w:r>
    </w:p>
    <w:p>
      <w:pPr>
        <w:pStyle w:val="ListBullet"/>
      </w:pPr>
      <w:r>
        <w:t>Federation strategy: should the current Starburst-backed federation model be formalised as the long-term pattern, or should it remain a pluggable implementation detail behind the Fabric abstraction?</w:t>
      </w:r>
    </w:p>
    <w:p>
      <w:pPr>
        <w:pStyle w:val="ListBullet"/>
      </w:pPr>
      <w:r>
        <w:t>Dual access model governance alignment: how should governance controls be aligned between the Fabric access path and the direct runtime retrieval path to prevent divergence or gaps?</w:t>
      </w:r>
    </w:p>
    <w:p>
      <w:pPr>
        <w:pStyle w:val="Heading1"/>
      </w:pPr>
      <w:r>
        <w:t>Appendix D. Assumptions and Decisions Log</w:t>
      </w:r>
    </w:p>
    <w:p>
      <w:pPr>
        <w:pStyle w:val="Heading2"/>
      </w:pPr>
      <w:r>
        <w:t>Assumptions</w:t>
      </w:r>
    </w:p>
    <w:tbl>
      <w:tblPr>
        <w:tblStyle w:val="LightGrid-Accent1"/>
        <w:tblW w:type="auto" w:w="0"/>
        <w:tblLook w:firstColumn="1" w:firstRow="1" w:lastColumn="0" w:lastRow="0" w:noHBand="0" w:noVBand="1" w:val="04A0"/>
      </w:tblPr>
      <w:tblGrid>
        <w:gridCol w:w="4320"/>
        <w:gridCol w:w="4320"/>
      </w:tblGrid>
      <w:tr>
        <w:tc>
          <w:tcPr>
            <w:tcW w:type="dxa" w:w="4320"/>
          </w:tcPr>
          <w:p>
            <w:r>
              <w:t>ID</w:t>
            </w:r>
          </w:p>
        </w:tc>
        <w:tc>
          <w:tcPr>
            <w:tcW w:type="dxa" w:w="4320"/>
          </w:tcPr>
          <w:p>
            <w:r>
              <w:t>Assumption</w:t>
            </w:r>
          </w:p>
        </w:tc>
      </w:tr>
      <w:tr>
        <w:tc>
          <w:tcPr>
            <w:tcW w:type="dxa" w:w="4320"/>
          </w:tcPr>
          <w:p>
            <w:r>
              <w:t>A1</w:t>
            </w:r>
          </w:p>
        </w:tc>
        <w:tc>
          <w:tcPr>
            <w:tcW w:type="dxa" w:w="4320"/>
          </w:tcPr>
          <w:p>
            <w:r>
              <w:t>The platform must support heterogeneous unstructured and semi-structured source types, not only document repositories.</w:t>
            </w:r>
          </w:p>
        </w:tc>
      </w:tr>
      <w:tr>
        <w:tc>
          <w:tcPr>
            <w:tcW w:type="dxa" w:w="4320"/>
          </w:tcPr>
          <w:p>
            <w:r>
              <w:t>A2</w:t>
            </w:r>
          </w:p>
        </w:tc>
        <w:tc>
          <w:tcPr>
            <w:tcW w:type="dxa" w:w="4320"/>
          </w:tcPr>
          <w:p>
            <w:r>
              <w:t>Different modalities require different preparation and control paths before downstream AI use.</w:t>
            </w:r>
          </w:p>
        </w:tc>
      </w:tr>
      <w:tr>
        <w:tc>
          <w:tcPr>
            <w:tcW w:type="dxa" w:w="4320"/>
          </w:tcPr>
          <w:p>
            <w:r>
              <w:t>A3</w:t>
            </w:r>
          </w:p>
        </w:tc>
        <w:tc>
          <w:tcPr>
            <w:tcW w:type="dxa" w:w="4320"/>
          </w:tcPr>
          <w:p>
            <w:r>
              <w:t>Not all use cases require graph, vector, and stateful agent processing simultaneously.</w:t>
            </w:r>
          </w:p>
        </w:tc>
      </w:tr>
      <w:tr>
        <w:tc>
          <w:tcPr>
            <w:tcW w:type="dxa" w:w="4320"/>
          </w:tcPr>
          <w:p>
            <w:r>
              <w:t>A4</w:t>
            </w:r>
          </w:p>
        </w:tc>
        <w:tc>
          <w:tcPr>
            <w:tcW w:type="dxa" w:w="4320"/>
          </w:tcPr>
          <w:p>
            <w:r>
              <w:t>Some content types will require restricted processing paths and may not be allowed to use all shared AI services.</w:t>
            </w:r>
          </w:p>
        </w:tc>
      </w:tr>
      <w:tr>
        <w:tc>
          <w:tcPr>
            <w:tcW w:type="dxa" w:w="4320"/>
          </w:tcPr>
          <w:p>
            <w:r>
              <w:t>A5</w:t>
            </w:r>
          </w:p>
        </w:tc>
        <w:tc>
          <w:tcPr>
            <w:tcW w:type="dxa" w:w="4320"/>
          </w:tcPr>
          <w:p>
            <w:r>
              <w:t>Local operational metadata and lineage may exist for execution purposes, but enterprise alignment to catalogue and Fabric services is mandatory and must not be deferred indefinitely.</w:t>
            </w:r>
          </w:p>
        </w:tc>
      </w:tr>
      <w:tr>
        <w:tc>
          <w:tcPr>
            <w:tcW w:type="dxa" w:w="4320"/>
          </w:tcPr>
          <w:p>
            <w:r>
              <w:t>A6</w:t>
            </w:r>
          </w:p>
        </w:tc>
        <w:tc>
          <w:tcPr>
            <w:tcW w:type="dxa" w:w="4320"/>
          </w:tcPr>
          <w:p>
            <w:r>
              <w:t>The logical reference architecture may be implemented in federated or hybrid deployment patterns across cloud and on-prem environments.</w:t>
            </w:r>
          </w:p>
        </w:tc>
      </w:tr>
      <w:tr>
        <w:tc>
          <w:tcPr>
            <w:tcW w:type="dxa" w:w="4320"/>
          </w:tcPr>
          <w:p>
            <w:r>
              <w:t>A7</w:t>
            </w:r>
          </w:p>
        </w:tc>
        <w:tc>
          <w:tcPr>
            <w:tcW w:type="dxa" w:w="4320"/>
          </w:tcPr>
          <w:p>
            <w:r>
              <w:t>External and third-party content requires explicit trust scoring, licensing validation, provenance assessment, and legal or moderation review before use in enterprise AI workflows.</w:t>
            </w:r>
          </w:p>
        </w:tc>
      </w:tr>
      <w:tr>
        <w:tc>
          <w:tcPr>
            <w:tcW w:type="dxa" w:w="4320"/>
          </w:tcPr>
          <w:p>
            <w:r>
              <w:t>A8</w:t>
            </w:r>
          </w:p>
        </w:tc>
        <w:tc>
          <w:tcPr>
            <w:tcW w:type="dxa" w:w="4320"/>
          </w:tcPr>
          <w:p>
            <w:r>
              <w:t>Fabric is already the enterprise-standard access layer for structured data products. Extending this pattern to unstructured and knowledge-derived outputs is a strategic requirement.</w:t>
            </w:r>
          </w:p>
        </w:tc>
      </w:tr>
      <w:tr>
        <w:tc>
          <w:tcPr>
            <w:tcW w:type="dxa" w:w="4320"/>
          </w:tcPr>
          <w:p>
            <w:r>
              <w:t>A9</w:t>
            </w:r>
          </w:p>
        </w:tc>
        <w:tc>
          <w:tcPr>
            <w:tcW w:type="dxa" w:w="4320"/>
          </w:tcPr>
          <w:p>
            <w:r>
              <w:t>Cross-cluster federation is currently implemented via Starburst, but the architecture should not take a permanent dependency on any single federation technology.</w:t>
            </w:r>
          </w:p>
        </w:tc>
      </w:tr>
      <w:tr>
        <w:tc>
          <w:tcPr>
            <w:tcW w:type="dxa" w:w="4320"/>
          </w:tcPr>
          <w:p>
            <w:r>
              <w:t>A10</w:t>
            </w:r>
          </w:p>
        </w:tc>
        <w:tc>
          <w:tcPr>
            <w:tcW w:type="dxa" w:w="4320"/>
          </w:tcPr>
          <w:p>
            <w:r>
              <w:t>Deterministic workflow orchestration is the default and preferred execution model. Stateful agent execution requires explicit justification.</w:t>
            </w:r>
          </w:p>
        </w:tc>
      </w:tr>
      <w:tr>
        <w:tc>
          <w:tcPr>
            <w:tcW w:type="dxa" w:w="4320"/>
          </w:tcPr>
          <w:p>
            <w:r>
              <w:t>A11</w:t>
            </w:r>
          </w:p>
        </w:tc>
        <w:tc>
          <w:tcPr>
            <w:tcW w:type="dxa" w:w="4320"/>
          </w:tcPr>
          <w:p>
            <w:r>
              <w:t>AI Observability and FinOps are enterprise control requirements, not optional operational add-ons.</w:t>
            </w:r>
          </w:p>
        </w:tc>
      </w:tr>
      <w:tr>
        <w:tc>
          <w:tcPr>
            <w:tcW w:type="dxa" w:w="4320"/>
          </w:tcPr>
          <w:p>
            <w:r>
              <w:t>A12</w:t>
            </w:r>
          </w:p>
        </w:tc>
        <w:tc>
          <w:tcPr>
            <w:tcW w:type="dxa" w:w="4320"/>
          </w:tcPr>
          <w:p>
            <w:r>
              <w:t>Human-in-the-loop (HITL) review is a mandatory regulatory requirement for AI-generated content before persistence or publication as an authoritative enterprise artefact.</w:t>
            </w:r>
          </w:p>
        </w:tc>
      </w:tr>
    </w:tbl>
    <w:p>
      <w:pPr>
        <w:pStyle w:val="Heading2"/>
      </w:pPr>
      <w:r>
        <w:t>Initial Decisions</w:t>
      </w:r>
    </w:p>
    <w:tbl>
      <w:tblPr>
        <w:tblStyle w:val="LightGrid-Accent1"/>
        <w:tblW w:type="auto" w:w="0"/>
        <w:tblLook w:firstColumn="1" w:firstRow="1" w:lastColumn="0" w:lastRow="0" w:noHBand="0" w:noVBand="1" w:val="04A0"/>
      </w:tblPr>
      <w:tblGrid>
        <w:gridCol w:w="4320"/>
        <w:gridCol w:w="4320"/>
      </w:tblGrid>
      <w:tr>
        <w:tc>
          <w:tcPr>
            <w:tcW w:type="dxa" w:w="4320"/>
          </w:tcPr>
          <w:p>
            <w:r>
              <w:t>ID</w:t>
            </w:r>
          </w:p>
        </w:tc>
        <w:tc>
          <w:tcPr>
            <w:tcW w:type="dxa" w:w="4320"/>
          </w:tcPr>
          <w:p>
            <w:r>
              <w:t>Decision</w:t>
            </w:r>
          </w:p>
        </w:tc>
      </w:tr>
      <w:tr>
        <w:tc>
          <w:tcPr>
            <w:tcW w:type="dxa" w:w="4320"/>
          </w:tcPr>
          <w:p>
            <w:r>
              <w:t>D1</w:t>
            </w:r>
          </w:p>
        </w:tc>
        <w:tc>
          <w:tcPr>
            <w:tcW w:type="dxa" w:w="4320"/>
          </w:tcPr>
          <w:p>
            <w:r>
              <w:t>The architecture is positioned as a logical enterprise reference architecture, not an implementation or deployment diagram.</w:t>
            </w:r>
          </w:p>
        </w:tc>
      </w:tr>
      <w:tr>
        <w:tc>
          <w:tcPr>
            <w:tcW w:type="dxa" w:w="4320"/>
          </w:tcPr>
          <w:p>
            <w:r>
              <w:t>D2</w:t>
            </w:r>
          </w:p>
        </w:tc>
        <w:tc>
          <w:tcPr>
            <w:tcW w:type="dxa" w:w="4320"/>
          </w:tcPr>
          <w:p>
            <w:r>
              <w:t>The architecture is structured as a left-to-right lifecycle from source through to retrieval and consumption, with Fabric as the data product exposure layer between persistence and retrieval.</w:t>
            </w:r>
          </w:p>
        </w:tc>
      </w:tr>
      <w:tr>
        <w:tc>
          <w:tcPr>
            <w:tcW w:type="dxa" w:w="4320"/>
          </w:tcPr>
          <w:p>
            <w:r>
              <w:t>D3</w:t>
            </w:r>
          </w:p>
        </w:tc>
        <w:tc>
          <w:tcPr>
            <w:tcW w:type="dxa" w:w="4320"/>
          </w:tcPr>
          <w:p>
            <w:r>
              <w:t>A dedicated ingestion and onboarding layer is retained as a core architectural capability.</w:t>
            </w:r>
          </w:p>
        </w:tc>
      </w:tr>
      <w:tr>
        <w:tc>
          <w:tcPr>
            <w:tcW w:type="dxa" w:w="4320"/>
          </w:tcPr>
          <w:p>
            <w:r>
              <w:t>D4</w:t>
            </w:r>
          </w:p>
        </w:tc>
        <w:tc>
          <w:tcPr>
            <w:tcW w:type="dxa" w:w="4320"/>
          </w:tcPr>
          <w:p>
            <w:r>
              <w:t>Content preparation and normalisation are treated as a shared platform capability and a critical control point.</w:t>
            </w:r>
          </w:p>
        </w:tc>
      </w:tr>
      <w:tr>
        <w:tc>
          <w:tcPr>
            <w:tcW w:type="dxa" w:w="4320"/>
          </w:tcPr>
          <w:p>
            <w:r>
              <w:t>D5</w:t>
            </w:r>
          </w:p>
        </w:tc>
        <w:tc>
          <w:tcPr>
            <w:tcW w:type="dxa" w:w="4320"/>
          </w:tcPr>
          <w:p>
            <w:r>
              <w:t>Stateful agents are positioned as a specialised execution pattern, not the default runtime model for all workloads. Deterministic workflow is the preferred default.</w:t>
            </w:r>
          </w:p>
        </w:tc>
      </w:tr>
      <w:tr>
        <w:tc>
          <w:tcPr>
            <w:tcW w:type="dxa" w:w="4320"/>
          </w:tcPr>
          <w:p>
            <w:r>
              <w:t>D6</w:t>
            </w:r>
          </w:p>
        </w:tc>
        <w:tc>
          <w:tcPr>
            <w:tcW w:type="dxa" w:w="4320"/>
          </w:tcPr>
          <w:p>
            <w:r>
              <w:t>MCP is positioned as a governed interaction pattern for AI-to-tool and service access, not the primary mechanism for all data integration.</w:t>
            </w:r>
          </w:p>
        </w:tc>
      </w:tr>
      <w:tr>
        <w:tc>
          <w:tcPr>
            <w:tcW w:type="dxa" w:w="4320"/>
          </w:tcPr>
          <w:p>
            <w:r>
              <w:t>D7</w:t>
            </w:r>
          </w:p>
        </w:tc>
        <w:tc>
          <w:tcPr>
            <w:tcW w:type="dxa" w:w="4320"/>
          </w:tcPr>
          <w:p>
            <w:r>
              <w:t>Persistence is separated by role, including raw, processed, metadata, analytical, vector, graph, and session-state stores.</w:t>
            </w:r>
          </w:p>
        </w:tc>
      </w:tr>
      <w:tr>
        <w:tc>
          <w:tcPr>
            <w:tcW w:type="dxa" w:w="4320"/>
          </w:tcPr>
          <w:p>
            <w:r>
              <w:t>D8</w:t>
            </w:r>
          </w:p>
        </w:tc>
        <w:tc>
          <w:tcPr>
            <w:tcW w:type="dxa" w:w="4320"/>
          </w:tcPr>
          <w:p>
            <w:r>
              <w:t>Retrieval is treated as a governed capability with entitlement, policy, provenance, and ranking controls.</w:t>
            </w:r>
          </w:p>
        </w:tc>
      </w:tr>
      <w:tr>
        <w:tc>
          <w:tcPr>
            <w:tcW w:type="dxa" w:w="4320"/>
          </w:tcPr>
          <w:p>
            <w:r>
              <w:t>D9</w:t>
            </w:r>
          </w:p>
        </w:tc>
        <w:tc>
          <w:tcPr>
            <w:tcW w:type="dxa" w:w="4320"/>
          </w:tcPr>
          <w:p>
            <w:r>
              <w:t>Cross-cutting security, governance, lineage, and operational controls apply across the entire lifecycle.</w:t>
            </w:r>
          </w:p>
        </w:tc>
      </w:tr>
      <w:tr>
        <w:tc>
          <w:tcPr>
            <w:tcW w:type="dxa" w:w="4320"/>
          </w:tcPr>
          <w:p>
            <w:r>
              <w:t>D10</w:t>
            </w:r>
          </w:p>
        </w:tc>
        <w:tc>
          <w:tcPr>
            <w:tcW w:type="dxa" w:w="4320"/>
          </w:tcPr>
          <w:p>
            <w:r>
              <w:t>Fabric is introduced as a formal architecture layer (Layer 07) for enterprise data product publication and access.</w:t>
            </w:r>
          </w:p>
        </w:tc>
      </w:tr>
      <w:tr>
        <w:tc>
          <w:tcPr>
            <w:tcW w:type="dxa" w:w="4320"/>
          </w:tcPr>
          <w:p>
            <w:r>
              <w:t>D11</w:t>
            </w:r>
          </w:p>
        </w:tc>
        <w:tc>
          <w:tcPr>
            <w:tcW w:type="dxa" w:w="4320"/>
          </w:tcPr>
          <w:p>
            <w:r>
              <w:t>The architecture supports a dual access model: published data products via Fabric for discovery and analytical consumption, and direct runtime retrieval for latency-sensitive interactive use cases.</w:t>
            </w:r>
          </w:p>
        </w:tc>
      </w:tr>
      <w:tr>
        <w:tc>
          <w:tcPr>
            <w:tcW w:type="dxa" w:w="4320"/>
          </w:tcPr>
          <w:p>
            <w:r>
              <w:t>D12</w:t>
            </w:r>
          </w:p>
        </w:tc>
        <w:tc>
          <w:tcPr>
            <w:tcW w:type="dxa" w:w="4320"/>
          </w:tcPr>
          <w:p>
            <w:r>
              <w:t>AI Observability and FinOps are treated as explicit enterprise control requirements within the governed AI integration layer.</w:t>
            </w:r>
          </w:p>
        </w:tc>
      </w:tr>
      <w:tr>
        <w:tc>
          <w:tcPr>
            <w:tcW w:type="dxa" w:w="4320"/>
          </w:tcPr>
          <w:p>
            <w:r>
              <w:t>D13</w:t>
            </w:r>
          </w:p>
        </w:tc>
        <w:tc>
          <w:tcPr>
            <w:tcW w:type="dxa" w:w="4320"/>
          </w:tcPr>
          <w:p>
            <w:r>
              <w:t>Every published data product must have defined ownership, stewardship, consumer obligations, and a governed release and change control process.</w:t>
            </w:r>
          </w:p>
        </w:tc>
      </w:tr>
      <w:tr>
        <w:tc>
          <w:tcPr>
            <w:tcW w:type="dxa" w:w="4320"/>
          </w:tcPr>
          <w:p>
            <w:r>
              <w:t>D14</w:t>
            </w:r>
          </w:p>
        </w:tc>
        <w:tc>
          <w:tcPr>
            <w:tcW w:type="dxa" w:w="4320"/>
          </w:tcPr>
          <w:p>
            <w:r>
              <w:t>Enterprise metadata and lineage alignment to catalogue and Fabric is mandatory. Local operational metadata is permitted for execution but must not remain isolated long-term.</w:t>
            </w:r>
          </w:p>
        </w:tc>
      </w:tr>
      <w:tr>
        <w:tc>
          <w:tcPr>
            <w:tcW w:type="dxa" w:w="4320"/>
          </w:tcPr>
          <w:p>
            <w:r>
              <w:t>D15</w:t>
            </w:r>
          </w:p>
        </w:tc>
        <w:tc>
          <w:tcPr>
            <w:tcW w:type="dxa" w:w="4320"/>
          </w:tcPr>
          <w:p>
            <w:r>
              <w:t>A Human-in-the-Loop (HITL) review gate is positioned as a mandatory step within Quality Assurance and Validation. No AI-generated content may be persisted or published without human approval in a regulated environment.</w:t>
            </w:r>
          </w:p>
        </w:tc>
      </w:tr>
    </w:tbl>
    <w:p>
      <w:r>
        <w:t>This assumptions and decisions log is intended to capture the design position of the reference architecture and provide a basis for future refinement as the workstream matures.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