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Unstructured Data Platform</w:t>
      </w:r>
    </w:p>
    <w:p>
      <w:pPr>
        <w:pStyle w:val="Heading1"/>
      </w:pPr>
      <w:r>
        <w:t>Capability Reuse Assessment</w:t>
      </w:r>
    </w:p>
    <w:p>
      <w:r>
        <w:rPr>
          <w:i/>
        </w:rPr>
        <w:t>Use-case-agnostic view of the A1 Reference Architecture capabilities</w:t>
      </w:r>
      <w:r>
        <w:rPr>
          <w:i/>
        </w:rPr>
        <w:br/>
        <w:t>Purpose: Identify reusable components, platform gaps, and Group AI alignment points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Platform Capability Assessment — Group AI &amp; Enterprise Platform Alignment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Lead Architect, AI for Tech — Unstructured Data Workstream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 Group AI Platform Discussion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May 2026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Related Artefacts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A1 Reference Architecture v2; Codify the Bank R1 Capability Assessment v3; Core Capability Gap Assessment v2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provides a use-case-agnostic view of every building block in the A1 Enterprise Reference Architecture for Unstructured Data. For each capability, it identifies:</w:t>
      </w:r>
    </w:p>
    <w:p>
      <w:pPr>
        <w:pStyle w:val="ListNumber"/>
      </w:pPr>
      <w:r>
        <w:t>Reusability status — Is this a reusable shared component today, or is it use-case-specific?</w:t>
      </w:r>
    </w:p>
    <w:p>
      <w:pPr>
        <w:pStyle w:val="ListNumber"/>
      </w:pPr>
      <w:r>
        <w:t>Current provider — Who owns or provides it (Group AI, UDL Platform, Enterprise, use-case teams, or nobody)?</w:t>
      </w:r>
    </w:p>
    <w:p>
      <w:pPr>
        <w:pStyle w:val="ListNumber"/>
      </w:pPr>
      <w:r>
        <w:t>Group AI alignment question — The specific question to take to Group AI Platform to understand their current or planned provision</w:t>
      </w:r>
    </w:p>
    <w:p>
      <w:r>
        <w:t>This document is designed to be walked through capability by capability with Group AI Platform, Enterprise Architecture, and other shared-service teams to systematically map what exists, what is planned, and what gaps remain.</w:t>
      </w:r>
    </w:p>
    <w:p>
      <w:pPr>
        <w:pStyle w:val="Heading1"/>
      </w:pPr>
      <w:r>
        <w:t>2. Reusability Ratings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Exists as a reusable enterprise or platform service today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 validated pattern exists in one or more use cases but is not yet extracted as a shared service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 shared service is stated as roadmap intent but not yet confirmed or production-ready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shared capability, no validated pattern, no known plan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Capability is owned by another enterprise team (Fabric, Security, Metadata &amp; Catalogue, etc.)</w:t>
            </w:r>
          </w:p>
        </w:tc>
      </w:tr>
    </w:tbl>
    <w:p/>
    <w:p>
      <w:pPr>
        <w:pStyle w:val="Heading1"/>
      </w:pPr>
      <w:r>
        <w:t>3. Capability-by-Capability Assessment</w:t>
      </w:r>
    </w:p>
    <w:p>
      <w:pPr>
        <w:pStyle w:val="Heading2"/>
      </w:pPr>
      <w:r>
        <w:t>Layer 1 — Source Domains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Source connector abstraction (API, event, batch, stream, crawler)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shared connector framework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any standardised source connector framework for unstructured content ingestion?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Source registration &amp; ownership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maintain a source registry, or is this expected to be built by the UDL workstream?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Multi-modality source support (document, audio, email, chat, video)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(document in Codify, audio in Voice/Audio)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modality-specific intake services, or is modality handling expected to be use-case-owned?</w:t>
            </w:r>
          </w:p>
        </w:tc>
      </w:tr>
    </w:tbl>
    <w:p/>
    <w:p>
      <w:pPr>
        <w:pStyle w:val="Heading2"/>
      </w:pPr>
      <w:r>
        <w:t>Layer 2 — Ingestion &amp; Onboarding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Intake connectors (event-driven, API, batch)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shared intake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managed intake/ingestion service for unstructured content? If not, is this on roadmap?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Landing zone with validation &amp; schema 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managed landing zone with content validation, or is this use-case-owned?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Quarantine &amp; exception handling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quarantine or dead-letter queue patterns for failed intake?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Policy-aware routing (sensitivity, trust, residency)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any policy-based routing at intake (e.g. by content classification, residency, sensitivity tier)?</w:t>
            </w:r>
          </w:p>
        </w:tc>
      </w:tr>
    </w:tbl>
    <w:p/>
    <w:p>
      <w:pPr>
        <w:pStyle w:val="Heading2"/>
      </w:pPr>
      <w:r>
        <w:t>Layer 3 — Preparation &amp; Normalisation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Format detection &amp; modality routing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content detection/modality routing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Document parsing &amp; extraction (PDF, Word, HTML)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microservices)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 shared document parsing/extraction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OCR (scanned documents, images)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OCR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Speech-to-text (audio/video transcription)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(Voice/Audio)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STT as a shared service, or is this consumed directly from cloud providers?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Communication normalisation (email, chat thread handling)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email/chat thread normalisation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Normalisation &amp; deduplication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content deduplication (e.g. MinHash, fingerprinting)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Metadata enrichment &amp; classification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enterprise content classification or auto-tagging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PII detection &amp; redaction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— Group AI moderation is output-side 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 question: Does Group AI provide or plan a PII detection and redaction service that can be applied at the input/preparation stage — before content is embedded or ingested into graph stores? Current Group AI moderation only covers LLM output safety.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DLP enforcement before semantic processing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DLP gate that can be inserted into a processing pipeline before embedding generation?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3.10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Chunking (semantic splitting)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today; Group AI plans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What is the confirmed timeline for Group AI shared chunking services? What chunking strategies are supported (fixed, semantic, recursive)? Can chunking policies be configured per use case?</w:t>
            </w:r>
          </w:p>
        </w:tc>
      </w:tr>
    </w:tbl>
    <w:p/>
    <w:p>
      <w:pPr>
        <w:pStyle w:val="Heading2"/>
      </w:pPr>
      <w:r>
        <w:t>Layer 4 — Orchestration &amp; Semantic Processing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Deterministic workflow engine (DAG, retry, replay)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(LangGraph in Codify)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recommend a shared orchestration engine for AI workflows? Or is orchestration expected to be use-case-owned?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Stateful agent execution (multi-step reasoning, tool use, memory)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(LangGraph sub-graphs)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 agent runtime or agent execution framework? If so, does it support stateful execution, tool governance, and deterministic orchestration?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Embedding generation pipeline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today; Group AI plans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What is the confirmed timeline for Group AI shared embedding services? Does the shared service support: per-use-case model selection, NER-tagged embeddings, custom metadata schemas, FinOps attribution per workflow?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Knowledge enrichment &amp; graph build (entity extraction, ontology alignment)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KG pipeline)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entity extraction, relationship extraction, or knowledge graph build capability as a shared 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Quality assurance &amp; validation (multi-judge, confidence scoring)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multi-judge)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shared evaluation or judge framework for AI output quality assessment?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Human-in-the-loop (HITL) review framework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React SPA)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 shared HITL review interface or approval workflow framework?</w:t>
            </w:r>
          </w:p>
        </w:tc>
      </w:tr>
    </w:tbl>
    <w:p/>
    <w:p>
      <w:pPr>
        <w:pStyle w:val="Heading2"/>
      </w:pPr>
      <w:r>
        <w:t>Layer 5 — Governed AI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MCP Client (governed tool access from AI runtimes)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MCP Client Library)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standard MCP Client library, or is each use case expected to build its own? What is Group AI's position on MCP as the enterprise AI-to-tool integration standard?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MCP Gateway / Server (mediation, tracing, governance)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MCP Server on GKE)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shared MCP Gateway/Server, or is this expected to be use-case-deployed?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access (foundation models, fine-tuned models)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Confirmed shared service. Which models are available? What is the model upgrade/deprecation notification process?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Embedding model access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Confirmed shared service. Which embedding models are available? What is the model versioning and pinning policy? Can use cases pin to a specific model version to avoid index-breaking changes?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Content moderation &amp; guardrails (output-side)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Confirmed shared service. Does moderation cover input-side content as well as output-side? Can moderation be applied at the preparation stage (before embedding), not just at model output?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Service Adapter / Abstraction SDK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UDL Platform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Exists as UDL Platform shared layer. Does Group AI plan to absorb or replace this with their own SDK?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Observability (latency, model telemetry, drift detection)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 provides basic telemetry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What AI observability telemetry does Group AI expose today? Specifically: model latency per call, model version per request, token count per request, quality/drift signals?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FinOps &amp; cost attribution (token metering, quota enforcement)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 question: Does Group AI provide per-use-case cost attribution? Per-workflow token metering? Quota enforcement to prevent one use case from exhausting shared capacity? What is the FinOps telemetry interface?</w:t>
            </w:r>
          </w:p>
        </w:tc>
      </w:tr>
    </w:tbl>
    <w:p/>
    <w:p>
      <w:pPr>
        <w:pStyle w:val="Heading2"/>
      </w:pPr>
      <w:r>
        <w:t>Layer 6 — Persistence Services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Raw &amp; processed content store (object/blob storage)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GCP Managed (GCS)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Infrastructure-level. No Group AI question.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Metadata &amp; lineage store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(BigQuery)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metadata or lineage store, or is this an enterprise catalogue dependency?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Analytical / relational store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GCP Managed (BigQuery)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Infrastructure-level. No Group AI question.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Vector store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🟠 Planned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today; Group AI plans VectorDB-as-a-Service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 question: What is the confirmed delivery date for VectorDB-as-a-Service? What SLA is committed? Does it support: per-use-case namespace isolation, ANN index lifecycle management, entity-level summaries, custom metadata schemas, FinOps attribution?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Graph store (knowledge graph)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(Neo4j on-prem in Codify)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plan a managed graph database service? If not, is this expected to be use-case-owned or enterprise infrastructure?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Session state &amp; cache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UDL Platform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Exists as UDL Platform shared layer. Does Group AI plan to provide session/cache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catalogue alignment (metadata publication)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Metadata &amp; Catalogue workstream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enterprise dependency. But: does Group AI publish any metadata to the enterprise catalogue today?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Retention &amp; classification propagation across stores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retention or classification policies across its managed stores (current or planned)?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Residency-aware storage placement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support residency-aware data placement in its planned VectorDB-as-a-Service?</w:t>
            </w:r>
          </w:p>
        </w:tc>
      </w:tr>
    </w:tbl>
    <w:p/>
    <w:p>
      <w:pPr>
        <w:pStyle w:val="Heading2"/>
      </w:pPr>
      <w:r>
        <w:t>Layer 7 — Fabric / Data Product Access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Structured analytical products via Fabric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Fabric workstream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Fabric dependency.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Knowledge graph products via Fabric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have any plans to expose AI-generated knowledge graph outputs as data products?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Curated unstructured products via Fabric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any mechanism to publish AI-processed content as governed data products?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Federation &amp; cross-cluster access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Fabric workstream (Starburst)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Fabric dependency.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product governance (contracts, SLAs, versioning)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🔵 Enterprise Dependency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Governance workstream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governance dependency.</w:t>
            </w:r>
          </w:p>
        </w:tc>
      </w:tr>
    </w:tbl>
    <w:p/>
    <w:p>
      <w:pPr>
        <w:pStyle w:val="Heading2"/>
      </w:pPr>
      <w:r>
        <w:t>Layer 8 — Retrieval &amp; Consumption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Retrieval orchestration &amp; hybrid search (vector + BM25 + graph + reranking)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(Codify hybrid retrieval)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shared retrieval/search service? Does it support hybrid retrieval (vector + keyword + graph traversal + reranking)?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Retrieval-time governance (entitlement filtering, policy, provenance)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any entitlement or classification filtering at retrieval time in its planned VectorDB-as-a-Service?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Content &amp; query APIs (REST, GraphQL, gRPC)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standardised query APIs for its shared stores?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RAG runtime (retrieval-augmented generation)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managed RAG service or RAG framework? If so, does it support custom retrieval pipelines, graph-augmented RAG, and governed context injection?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Agent / copilot runtime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a managed agent/copilot runtime? Does it support tool governance, session persistence, and deterministic orchestration?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app &amp; BI 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typically a Group AI question — enterprise integration dependency.</w:t>
            </w:r>
          </w:p>
        </w:tc>
      </w:tr>
    </w:tbl>
    <w:p/>
    <w:p>
      <w:pPr>
        <w:pStyle w:val="Heading2"/>
      </w:pPr>
      <w:r>
        <w:t>Layer 9 — Cross-Cutting Security, Governance &amp; Operations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Reusability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Current Provider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6"/>
              </w:rPr>
              <w:t>Group AI Alignment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Identity &amp; access (RBAC, ABAC, OAuth2, SSO)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/ UDL Platform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shared service. Does Group AI integrate with enterprise identity for all its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 &amp; DLP (content controls, classification)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 (output-side only)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plan to extend DLP and content policy enforcement to input-side (before embedding/graph build), not just output-side?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Lineage &amp; provenance (end-to-end traceability)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capture and expose lineage/provenance metadata for model invocations? Can this be integrated with enterprise catalogue?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&amp; observability (logging, metrics, tracing)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Pattern Exists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Use-case-specific (OTel)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or mandate a standard observability stack? Does it support OpenTelemetry context propagation?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Encryption &amp; key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GCP Managed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Infrastructure-level. Does Group AI support CMEK (customer-managed encryption keys) for its shared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Sovereignty &amp; residency controls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support regional/jurisdictional deployment of its shared services (LLMs, VectorDB, Embedding)?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Runtime access governance (dynamic entitlement at query time)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enforce dynamic entitlement at query time in its planned VectorDB-as-a-Service or retrieval services?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Responsible AI (bias detection, explainability, model governance)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⚠️ Partial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 AI (moderation only)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provide bias detection, explainability evidence, or model governance audit trail? Can model version be linked to specific outputs for regulatory evidence?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Model governance &amp; registry (version tracking, drift detection)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Absent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Does Group AI maintain a model registry? Can use cases query which model version was used for a specific invocation? Is model drift detection provided?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9.10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IaC &amp; change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🟢 Shared Service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Use-case-owned (Jenkins/GitOps)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a Group AI question — delivery practice.</w:t>
            </w:r>
          </w:p>
        </w:tc>
      </w:tr>
    </w:tbl>
    <w:p/>
    <w:p>
      <w:pPr>
        <w:pStyle w:val="Heading1"/>
      </w:pPr>
      <w:r>
        <w:t>4. Summary: Reusability Heatmap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🟢 Shared Service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🟡 Pattern Exists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🟠 Planned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🔴 Absent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b/>
                <w:color w:val="FFFFFF"/>
                <w:sz w:val="16"/>
              </w:rPr>
              <w:t>🔵 Enterprise Dep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1. Source Domains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2. Ingestion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3. Preparation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4. Orchestration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5. AI Integration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6. Persistence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7. Fabric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8. Retrieval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9. Cross-Cutting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</w:tr>
    </w:tbl>
    <w:p/>
    <w:p>
      <w:pPr>
        <w:pStyle w:val="Heading1"/>
      </w:pPr>
      <w:r>
        <w:t>5. Key Findings</w:t>
      </w:r>
    </w:p>
    <w:p>
      <w:pPr>
        <w:pStyle w:val="ListBullet"/>
      </w:pPr>
      <w:r>
        <w:t>Only 9 out of 57 capabilities are shared services today — predominantly Group AI model access (LLMs, embeddings, moderation), UDL Platform adapters, and GCP managed infrastructure.</w:t>
      </w:r>
    </w:p>
    <w:p>
      <w:pPr>
        <w:pStyle w:val="ListBullet"/>
      </w:pPr>
      <w:r>
        <w:t>22 capabilities are fully absent — no shared service, no validated pattern, no known plan. These are concentrated in Layers 1–3 (ingestion, preparation) and Layer 9 (governance controls).</w:t>
      </w:r>
    </w:p>
    <w:p>
      <w:pPr>
        <w:pStyle w:val="ListBullet"/>
      </w:pPr>
      <w:r>
        <w:t>19 capabilities have validated patterns but are not yet shared — these exist in individual use cases (primarily Codify the Bank) and represent the highest-value extraction candidates for shared services.</w:t>
      </w:r>
    </w:p>
    <w:p>
      <w:pPr>
        <w:pStyle w:val="ListBullet"/>
      </w:pPr>
      <w:r>
        <w:t>3 capabilities are planned by Group AI but unconfirmed — VectorDB-as-a-Service, shared Embedding Services, and shared Chunking Services. Delivery dates and SLAs must be confirmed before convergence planning.</w:t>
      </w:r>
    </w:p>
    <w:p>
      <w:r>
        <w:t>The critical Group AI alignment questions fall into four clusters:</w:t>
      </w:r>
    </w:p>
    <w:p>
      <w:pPr>
        <w:pStyle w:val="ListBullet"/>
      </w:pPr>
      <w:r>
        <w:t>Input-side controls — PII detection, DLP, and moderation applied before embedding/graph build (not just at LLM output)</w:t>
      </w:r>
    </w:p>
    <w:p>
      <w:pPr>
        <w:pStyle w:val="ListBullet"/>
      </w:pPr>
      <w:r>
        <w:t>Shared semantic services — VectorDB, embedding, chunking: confirmed timelines, SLAs, and per-use-case configurability</w:t>
      </w:r>
    </w:p>
    <w:p>
      <w:pPr>
        <w:pStyle w:val="ListBullet"/>
      </w:pPr>
      <w:r>
        <w:t>FinOps &amp; observability — Per-use-case cost attribution, token metering, quota enforcement, model version tracking</w:t>
      </w:r>
    </w:p>
    <w:p>
      <w:pPr>
        <w:pStyle w:val="ListBullet"/>
      </w:pPr>
      <w:r>
        <w:t>Retrieval governance — Entitlement filtering and classification enforcement at query time in shared stores</w:t>
      </w:r>
    </w:p>
    <w:p>
      <w:pPr>
        <w:pStyle w:val="Heading1"/>
      </w:pPr>
      <w:r>
        <w:t>6. Group AI Discussion Agenda</w:t>
      </w:r>
    </w:p>
    <w:p>
      <w:pPr>
        <w:pStyle w:val="Heading2"/>
      </w:pPr>
      <w:r>
        <w:t>Meeting 1 — Current Shared Services &amp; Planned Capabilities</w:t>
      </w:r>
    </w:p>
    <w:p>
      <w:pPr>
        <w:pStyle w:val="ListBullet"/>
      </w:pPr>
      <w:r>
        <w:t>Confirm current shared service scope (LLMs, embedding models, moderation)</w:t>
      </w:r>
    </w:p>
    <w:p>
      <w:pPr>
        <w:pStyle w:val="ListBullet"/>
      </w:pPr>
      <w:r>
        <w:t>Obtain confirmed delivery dates and SLAs for: VectorDB-as-a-Service, shared Embedding Services, shared Chunking Services</w:t>
      </w:r>
    </w:p>
    <w:p>
      <w:pPr>
        <w:pStyle w:val="ListBullet"/>
      </w:pPr>
      <w:r>
        <w:t>Clarify input-side vs output-side moderation scope</w:t>
      </w:r>
    </w:p>
    <w:p>
      <w:pPr>
        <w:pStyle w:val="ListBullet"/>
      </w:pPr>
      <w:r>
        <w:t>Understand model versioning and pinning policy</w:t>
      </w:r>
    </w:p>
    <w:p>
      <w:pPr>
        <w:pStyle w:val="Heading2"/>
      </w:pPr>
      <w:r>
        <w:t>Meeting 2 — FinOps, Observability &amp; Model Governance</w:t>
      </w:r>
    </w:p>
    <w:p>
      <w:pPr>
        <w:pStyle w:val="ListBullet"/>
      </w:pPr>
      <w:r>
        <w:t>Understand current FinOps telemetry interfaces</w:t>
      </w:r>
    </w:p>
    <w:p>
      <w:pPr>
        <w:pStyle w:val="ListBullet"/>
      </w:pPr>
      <w:r>
        <w:t>Discuss per-use-case cost attribution and quota enforcement</w:t>
      </w:r>
    </w:p>
    <w:p>
      <w:pPr>
        <w:pStyle w:val="ListBullet"/>
      </w:pPr>
      <w:r>
        <w:t>Clarify model registry and version tracking capabilities</w:t>
      </w:r>
    </w:p>
    <w:p>
      <w:pPr>
        <w:pStyle w:val="ListBullet"/>
      </w:pPr>
      <w:r>
        <w:t>Discuss drift detection and quality signal integration</w:t>
      </w:r>
    </w:p>
    <w:p>
      <w:pPr>
        <w:pStyle w:val="Heading2"/>
      </w:pPr>
      <w:r>
        <w:t>Meeting 3 — Retrieval, Governance &amp; Enterprise Integration</w:t>
      </w:r>
    </w:p>
    <w:p>
      <w:pPr>
        <w:pStyle w:val="ListBullet"/>
      </w:pPr>
      <w:r>
        <w:t>Understand retrieval-time governance capabilities in planned VectorDB-as-a-Service</w:t>
      </w:r>
    </w:p>
    <w:p>
      <w:pPr>
        <w:pStyle w:val="ListBullet"/>
      </w:pPr>
      <w:r>
        <w:t>Discuss entitlement-aware filtering at the data layer</w:t>
      </w:r>
    </w:p>
    <w:p>
      <w:pPr>
        <w:pStyle w:val="ListBullet"/>
      </w:pPr>
      <w:r>
        <w:t>Clarify residency and sovereignty support for shared services</w:t>
      </w:r>
    </w:p>
    <w:p>
      <w:pPr>
        <w:pStyle w:val="ListBullet"/>
      </w:pPr>
      <w:r>
        <w:t>Discuss catalogue and lineage integration</w:t>
      </w:r>
    </w:p>
    <w:p>
      <w:pPr>
        <w:pStyle w:val="Heading2"/>
      </w:pPr>
      <w:r>
        <w:t>Meeting 4 — Convergence Planning</w:t>
      </w:r>
    </w:p>
    <w:p>
      <w:pPr>
        <w:pStyle w:val="ListBullet"/>
      </w:pPr>
      <w:r>
        <w:t>Based on confirmed capabilities, define migration trigger criteria for each bespoke use-case implementation</w:t>
      </w:r>
    </w:p>
    <w:p>
      <w:pPr>
        <w:pStyle w:val="ListBullet"/>
      </w:pPr>
      <w:r>
        <w:t>Agree on interim governance model for capabilities that remain use-case-owned</w:t>
      </w:r>
    </w:p>
    <w:p>
      <w:pPr>
        <w:pStyle w:val="ListBullet"/>
      </w:pPr>
      <w:r>
        <w:t>Establish joint POC candidates where alignment is needed</w:t>
      </w:r>
    </w:p>
    <w:p>
      <w:pPr>
        <w:pStyle w:val="Heading1"/>
      </w:pPr>
      <w:r>
        <w:t>7. How to Use This Document</w:t>
      </w:r>
    </w:p>
    <w:p>
      <w:pPr>
        <w:pStyle w:val="ListNumber"/>
      </w:pPr>
      <w:r>
        <w:t>Before the meeting: Share this document with Group AI Platform leads. Ask them to pre-populate the "Group AI Alignment Question" column with their current answers.</w:t>
      </w:r>
    </w:p>
    <w:p>
      <w:pPr>
        <w:pStyle w:val="ListNumber"/>
      </w:pPr>
      <w:r>
        <w:t>During the meeting: Walk through capability by capability. For each 🔴 Absent or 🟠 Planned item, capture: current status, confirmed timeline (if any), production SLA, and any preconditions.</w:t>
      </w:r>
    </w:p>
    <w:p>
      <w:pPr>
        <w:pStyle w:val="ListNumber"/>
      </w:pPr>
      <w:r>
        <w:t>After the meeting: Update this document with confirmed answers. Use the output to refine the convergence framework and POC prioritisation in the main assessment document.</w:t>
      </w:r>
    </w:p>
    <w:p>
      <w:pPr>
        <w:pStyle w:val="ListNumber"/>
      </w:pPr>
      <w:r>
        <w:t>Ongoing: This becomes a living alignment tracker between the UDL workstream and Group AI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