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b/>
          <w:bCs/>
          <w:color w:val="1F3A5F"/>
          <w:sz w:val="20"/>
          <w:szCs w:val="20"/>
        </w:rPr>
        <w:t xml:space="preserve">AI FOR TECH — UNSTRUCTURED DATA WORKSTREAM</w:t>
      </w:r>
    </w:p>
    <w:p>
      <w:pPr>
        <w:spacing w:after="80" w:before="0"/>
      </w:pPr>
      <w:r>
        <w:rPr>
          <w:b/>
          <w:bCs/>
          <w:color w:val="1F3A5F"/>
          <w:sz w:val="44"/>
          <w:szCs w:val="44"/>
        </w:rPr>
        <w:t xml:space="preserve">Core Capability POC Gap Assessment</w:t>
      </w:r>
    </w:p>
    <w:p>
      <w:pPr>
        <w:spacing w:after="320" w:before="0"/>
      </w:pPr>
      <w:r>
        <w:rPr>
          <w:i/>
          <w:iCs/>
          <w:color w:val="595959"/>
          <w:sz w:val="24"/>
          <w:szCs w:val="24"/>
        </w:rPr>
        <w:t xml:space="preserve">Enterprise architecture assessment aligned to the A1 reference architecture for unstructured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AF0F6" w:color="auto" w:val="clear"/>
            <w:tcMar>
              <w:top w:type="dxa" w:w="80"/>
              <w:left w:type="dxa" w:w="120"/>
              <w:bottom w:type="dxa" w:w="80"/>
              <w:right w:type="dxa" w:w="120"/>
            </w:tcMar>
          </w:tcPr>
          <w:p>
            <w:pPr>
              <w:spacing w:after="20" w:before="20" w:line="260"/>
            </w:pPr>
            <w:r>
              <w:rPr>
                <w:b/>
                <w:bCs/>
                <w:sz w:val="20"/>
                <w:szCs w:val="20"/>
              </w:rPr>
              <w:t xml:space="preserve">Document type</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Architecture working document — for working-group circulation, chief architect review, and capability prioritisation</w:t>
            </w:r>
          </w:p>
        </w:tc>
      </w:tr>
      <w:tr>
        <w:tc>
          <w:tcPr>
            <w:tcW w:type="dxa" w:w="2340"/>
            <w:tcBorders>
              <w:top w:val="single" w:color="BFBFBF" w:sz="4"/>
              <w:left w:val="single" w:color="BFBFBF" w:sz="4"/>
              <w:bottom w:val="single" w:color="BFBFBF" w:sz="4"/>
              <w:right w:val="single" w:color="BFBFBF" w:sz="4"/>
            </w:tcBorders>
            <w:shd w:fill="EAF0F6" w:color="auto" w:val="clear"/>
            <w:tcMar>
              <w:top w:type="dxa" w:w="80"/>
              <w:left w:type="dxa" w:w="120"/>
              <w:bottom w:type="dxa" w:w="80"/>
              <w:right w:type="dxa" w:w="120"/>
            </w:tcMar>
          </w:tcPr>
          <w:p>
            <w:pPr>
              <w:spacing w:after="20" w:before="20" w:line="260"/>
            </w:pPr>
            <w:r>
              <w:rPr>
                <w:b/>
                <w:bCs/>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Lead Architect, AI for Tech — Unstructured Data workstream</w:t>
            </w:r>
          </w:p>
        </w:tc>
      </w:tr>
      <w:tr>
        <w:tc>
          <w:tcPr>
            <w:tcW w:type="dxa" w:w="2340"/>
            <w:tcBorders>
              <w:top w:val="single" w:color="BFBFBF" w:sz="4"/>
              <w:left w:val="single" w:color="BFBFBF" w:sz="4"/>
              <w:bottom w:val="single" w:color="BFBFBF" w:sz="4"/>
              <w:right w:val="single" w:color="BFBFBF" w:sz="4"/>
            </w:tcBorders>
            <w:shd w:fill="EAF0F6" w:color="auto" w:val="clear"/>
            <w:tcMar>
              <w:top w:type="dxa" w:w="80"/>
              <w:left w:type="dxa" w:w="120"/>
              <w:bottom w:type="dxa" w:w="80"/>
              <w:right w:type="dxa" w:w="120"/>
            </w:tcMar>
          </w:tcPr>
          <w:p>
            <w:pPr>
              <w:spacing w:after="20" w:before="20" w:line="260"/>
            </w:pPr>
            <w:r>
              <w:rPr>
                <w:b/>
                <w:bCs/>
                <w:sz w:val="20"/>
                <w:szCs w:val="20"/>
              </w:rPr>
              <w:t xml:space="preserve">Version</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2.0 (rewrite of v1.0)</w:t>
            </w:r>
          </w:p>
        </w:tc>
      </w:tr>
      <w:tr>
        <w:tc>
          <w:tcPr>
            <w:tcW w:type="dxa" w:w="2340"/>
            <w:tcBorders>
              <w:top w:val="single" w:color="BFBFBF" w:sz="4"/>
              <w:left w:val="single" w:color="BFBFBF" w:sz="4"/>
              <w:bottom w:val="single" w:color="BFBFBF" w:sz="4"/>
              <w:right w:val="single" w:color="BFBFBF" w:sz="4"/>
            </w:tcBorders>
            <w:shd w:fill="EAF0F6" w:color="auto" w:val="clear"/>
            <w:tcMar>
              <w:top w:type="dxa" w:w="80"/>
              <w:left w:type="dxa" w:w="120"/>
              <w:bottom w:type="dxa" w:w="80"/>
              <w:right w:type="dxa" w:w="120"/>
            </w:tcMar>
          </w:tcPr>
          <w:p>
            <w:pPr>
              <w:spacing w:after="20" w:before="20" w:line="260"/>
            </w:pPr>
            <w:r>
              <w:rPr>
                <w:b/>
                <w:bCs/>
                <w:sz w:val="20"/>
                <w:szCs w:val="20"/>
              </w:rPr>
              <w:t xml:space="preserve">Status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Draft for architecture review</w:t>
            </w:r>
          </w:p>
        </w:tc>
      </w:tr>
      <w:tr>
        <w:tc>
          <w:tcPr>
            <w:tcW w:type="dxa" w:w="2340"/>
            <w:tcBorders>
              <w:top w:val="single" w:color="BFBFBF" w:sz="4"/>
              <w:left w:val="single" w:color="BFBFBF" w:sz="4"/>
              <w:bottom w:val="single" w:color="BFBFBF" w:sz="4"/>
              <w:right w:val="single" w:color="BFBFBF" w:sz="4"/>
            </w:tcBorders>
            <w:shd w:fill="EAF0F6" w:color="auto" w:val="clear"/>
            <w:tcMar>
              <w:top w:type="dxa" w:w="80"/>
              <w:left w:type="dxa" w:w="120"/>
              <w:bottom w:type="dxa" w:w="80"/>
              <w:right w:type="dxa" w:w="120"/>
            </w:tcMar>
          </w:tcPr>
          <w:p>
            <w:pPr>
              <w:spacing w:after="20" w:before="20" w:line="260"/>
            </w:pPr>
            <w:r>
              <w:rPr>
                <w:b/>
                <w:bCs/>
                <w:sz w:val="20"/>
                <w:szCs w:val="20"/>
              </w:rPr>
              <w:t xml:space="preserve">Related artefacts</w:t>
            </w:r>
          </w:p>
        </w:tc>
        <w:tc>
          <w:tcPr>
            <w:tcW w:type="dxa" w:w="70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A1 Enterprise Reference Architecture for Unstructured Data Processing (v2); Codifying the Bank Release 2 architecture; Voice / Customer Journey Insight reference design; Knowledge Management managed content reference design</w:t>
            </w:r>
          </w:p>
        </w:tc>
      </w:tr>
    </w:tbl>
    <w:p>
      <w:r>
        <w:br w:type="page"/>
      </w:r>
    </w:p>
    <w:p>
      <w:pPr>
        <w:pStyle w:val="Heading1"/>
        <w:spacing w:after="160" w:before="360"/>
      </w:pPr>
      <w:r>
        <w:t xml:space="preserve">1. Purpose</w:t>
      </w:r>
    </w:p>
    <w:p>
      <w:pPr>
        <w:spacing w:after="80" w:before="80" w:line="300"/>
      </w:pPr>
      <w:r>
        <w:t xml:space="preserve">This document provides the core capability POC gap assessment for the Unstructured Data for AI workstream within AI for Tech.</w:t>
      </w:r>
    </w:p>
    <w:p>
      <w:pPr>
        <w:spacing w:after="80" w:before="80" w:line="300"/>
      </w:pPr>
      <w:r>
        <w:t xml:space="preserve">It establishes the architectural basis on which capability gaps have been identified between the target model defined in the A1 enterprise reference architecture for unstructured data and the current-state evidence observable across in-flight AI use cases, shared platform patterns, and dependent enterprise services.</w:t>
      </w:r>
    </w:p>
    <w:p>
      <w:pPr>
        <w:spacing w:after="80" w:before="80" w:line="300"/>
      </w:pPr>
      <w:r>
        <w:t xml:space="preserve">The document is intended to support:</w:t>
      </w:r>
    </w:p>
    <w:p>
      <w:pPr>
        <w:pStyle w:val="ListParagraph"/>
        <w:numPr>
          <w:ilvl w:val="0"/>
          <w:numId w:val="2"/>
        </w:numPr>
        <w:spacing w:after="40" w:before="40" w:line="300"/>
      </w:pPr>
      <w:r>
        <w:t xml:space="preserve">prioritisation of core reusable unstructured data capabilities;</w:t>
      </w:r>
    </w:p>
    <w:p>
      <w:pPr>
        <w:pStyle w:val="ListParagraph"/>
        <w:numPr>
          <w:ilvl w:val="0"/>
          <w:numId w:val="2"/>
        </w:numPr>
        <w:spacing w:after="40" w:before="40" w:line="300"/>
      </w:pPr>
      <w:r>
        <w:t xml:space="preserve">identification and scoping of targeted Proofs of Concept (POCs) required to validate capability patterns before enterprise scaling;</w:t>
      </w:r>
    </w:p>
    <w:p>
      <w:pPr>
        <w:pStyle w:val="ListParagraph"/>
        <w:numPr>
          <w:ilvl w:val="0"/>
          <w:numId w:val="2"/>
        </w:numPr>
        <w:spacing w:after="40" w:before="40" w:line="300"/>
      </w:pPr>
      <w:r>
        <w:t xml:space="preserve">alignment of the workstream with current and forthcoming AI use cases;</w:t>
      </w:r>
    </w:p>
    <w:p>
      <w:pPr>
        <w:pStyle w:val="ListParagraph"/>
        <w:numPr>
          <w:ilvl w:val="0"/>
          <w:numId w:val="2"/>
        </w:numPr>
        <w:spacing w:after="40" w:before="40" w:line="300"/>
      </w:pPr>
      <w:r>
        <w:t xml:space="preserve">transition of the workstream from architecture definition into capability validation and delivery planning.</w:t>
      </w:r>
    </w:p>
    <w:p>
      <w:pPr>
        <w:spacing w:after="80" w:before="80" w:line="300"/>
      </w:pPr>
      <w:r>
        <w:t xml:space="preserve">It is written for an architectural audience — the AI for Tech working group, the chief architect, enterprise architecture forums, and delivery-aligned use-case teams — and is not a solution or implementation design.</w:t>
      </w:r>
    </w:p>
    <w:p>
      <w:pPr>
        <w:pStyle w:val="Heading1"/>
        <w:spacing w:after="160" w:before="360"/>
      </w:pPr>
      <w:r>
        <w:t xml:space="preserve">2. Scope</w:t>
      </w:r>
    </w:p>
    <w:p>
      <w:pPr>
        <w:spacing w:after="80" w:before="80" w:line="300"/>
      </w:pPr>
      <w:r>
        <w:t xml:space="preserve">The assessment covers the core reusable capabilities required to onboard, prepare, govern, process, persist, publish, and consume heterogeneous unstructured and semi-structured data across enterprise AI use cases. It is structured around the nine layers of the A1 reference architecture and its cross-cutting control plane.</w:t>
      </w:r>
    </w:p>
    <w:p>
      <w:pPr>
        <w:spacing w:after="80" w:before="80" w:line="300"/>
      </w:pPr>
      <w:r>
        <w:t xml:space="preserve">The following capability areas are in scope:</w:t>
      </w:r>
    </w:p>
    <w:p>
      <w:pPr>
        <w:pStyle w:val="ListParagraph"/>
        <w:numPr>
          <w:ilvl w:val="0"/>
          <w:numId w:val="2"/>
        </w:numPr>
        <w:spacing w:after="40" w:before="40" w:line="300"/>
      </w:pPr>
      <w:r>
        <w:t xml:space="preserve">Source onboarding and ingestion</w:t>
      </w:r>
    </w:p>
    <w:p>
      <w:pPr>
        <w:pStyle w:val="ListParagraph"/>
        <w:numPr>
          <w:ilvl w:val="0"/>
          <w:numId w:val="2"/>
        </w:numPr>
        <w:spacing w:after="40" w:before="40" w:line="300"/>
      </w:pPr>
      <w:r>
        <w:t xml:space="preserve">Content preparation and normalisation, including modality-aware handling</w:t>
      </w:r>
    </w:p>
    <w:p>
      <w:pPr>
        <w:pStyle w:val="ListParagraph"/>
        <w:numPr>
          <w:ilvl w:val="0"/>
          <w:numId w:val="2"/>
        </w:numPr>
        <w:spacing w:after="40" w:before="40" w:line="300"/>
      </w:pPr>
      <w:r>
        <w:t xml:space="preserve">Metadata, lineage, and provenance</w:t>
      </w:r>
    </w:p>
    <w:p>
      <w:pPr>
        <w:pStyle w:val="ListParagraph"/>
        <w:numPr>
          <w:ilvl w:val="0"/>
          <w:numId w:val="2"/>
        </w:numPr>
        <w:spacing w:after="40" w:before="40" w:line="300"/>
      </w:pPr>
      <w:r>
        <w:t xml:space="preserve">Sensitive data controls and redaction</w:t>
      </w:r>
    </w:p>
    <w:p>
      <w:pPr>
        <w:pStyle w:val="ListParagraph"/>
        <w:numPr>
          <w:ilvl w:val="0"/>
          <w:numId w:val="2"/>
        </w:numPr>
        <w:spacing w:after="40" w:before="40" w:line="300"/>
      </w:pPr>
      <w:r>
        <w:t xml:space="preserve">Orchestration and semantic processing (deterministic workflows and stateful agents)</w:t>
      </w:r>
    </w:p>
    <w:p>
      <w:pPr>
        <w:pStyle w:val="ListParagraph"/>
        <w:numPr>
          <w:ilvl w:val="0"/>
          <w:numId w:val="2"/>
        </w:numPr>
        <w:spacing w:after="40" w:before="40" w:line="300"/>
      </w:pPr>
      <w:r>
        <w:t xml:space="preserve">Semantic services (chunking, embeddings, indexing)</w:t>
      </w:r>
    </w:p>
    <w:p>
      <w:pPr>
        <w:pStyle w:val="ListParagraph"/>
        <w:numPr>
          <w:ilvl w:val="0"/>
          <w:numId w:val="2"/>
        </w:numPr>
        <w:spacing w:after="40" w:before="40" w:line="300"/>
      </w:pPr>
      <w:r>
        <w:t xml:space="preserve">Knowledge enrichment and graph build</w:t>
      </w:r>
    </w:p>
    <w:p>
      <w:pPr>
        <w:pStyle w:val="ListParagraph"/>
        <w:numPr>
          <w:ilvl w:val="0"/>
          <w:numId w:val="2"/>
        </w:numPr>
        <w:spacing w:after="40" w:before="40" w:line="300"/>
      </w:pPr>
      <w:r>
        <w:t xml:space="preserve">Governed AI integration (MCP and shared AI platform services, AI Observability and FinOps)</w:t>
      </w:r>
    </w:p>
    <w:p>
      <w:pPr>
        <w:pStyle w:val="ListParagraph"/>
        <w:numPr>
          <w:ilvl w:val="0"/>
          <w:numId w:val="2"/>
        </w:numPr>
        <w:spacing w:after="40" w:before="40" w:line="300"/>
      </w:pPr>
      <w:r>
        <w:t xml:space="preserve">Persistence services (role-based storage)</w:t>
      </w:r>
    </w:p>
    <w:p>
      <w:pPr>
        <w:pStyle w:val="ListParagraph"/>
        <w:numPr>
          <w:ilvl w:val="0"/>
          <w:numId w:val="2"/>
        </w:numPr>
        <w:spacing w:after="40" w:before="40" w:line="300"/>
      </w:pPr>
      <w:r>
        <w:t xml:space="preserve">Fabric / Data Product Access Layer</w:t>
      </w:r>
    </w:p>
    <w:p>
      <w:pPr>
        <w:pStyle w:val="ListParagraph"/>
        <w:numPr>
          <w:ilvl w:val="0"/>
          <w:numId w:val="2"/>
        </w:numPr>
        <w:spacing w:after="40" w:before="40" w:line="300"/>
      </w:pPr>
      <w:r>
        <w:t xml:space="preserve">Retrieval and retrieval-time governance</w:t>
      </w:r>
    </w:p>
    <w:p>
      <w:pPr>
        <w:pStyle w:val="ListParagraph"/>
        <w:numPr>
          <w:ilvl w:val="0"/>
          <w:numId w:val="2"/>
        </w:numPr>
        <w:spacing w:after="40" w:before="40" w:line="300"/>
      </w:pPr>
      <w:r>
        <w:t xml:space="preserve">Cross-cutting controls: identity and access, policy and DLP, lineage and provenance, audit and observability, encryption and keys, legal and trust, sovereignty and residency, runtime entitlement, responsible AI, IaC and change management</w:t>
      </w:r>
    </w:p>
    <w:p>
      <w:pPr>
        <w:spacing w:after="80" w:before="80" w:line="300"/>
      </w:pPr>
      <w:r>
        <w:t xml:space="preserve">The following are out of scope for this document: specific vendor or product selections; deployment topology and physical infrastructure decisions; use-case-specific solution designs; implementation-level commercial evaluations. These remain the responsibility of delivery teams and will be informed by the outputs of the POCs this document recommends.</w:t>
      </w:r>
    </w:p>
    <w:p>
      <w:pPr>
        <w:pStyle w:val="Heading1"/>
        <w:spacing w:after="160" w:before="360"/>
      </w:pPr>
      <w:r>
        <w:t xml:space="preserve">3. Assessment Objective</w:t>
      </w:r>
    </w:p>
    <w:p>
      <w:pPr>
        <w:spacing w:after="80" w:before="80" w:line="300"/>
      </w:pPr>
      <w:r>
        <w:t xml:space="preserve">The assessment answers four questions:</w:t>
      </w:r>
    </w:p>
    <w:p>
      <w:pPr>
        <w:pStyle w:val="ListParagraph"/>
        <w:numPr>
          <w:ilvl w:val="0"/>
          <w:numId w:val="3"/>
        </w:numPr>
        <w:spacing w:after="40" w:before="40" w:line="300"/>
      </w:pPr>
      <w:r>
        <w:t xml:space="preserve">What are the target capabilities required by the enterprise reference architecture?</w:t>
      </w:r>
    </w:p>
    <w:p>
      <w:pPr>
        <w:pStyle w:val="ListParagraph"/>
        <w:numPr>
          <w:ilvl w:val="0"/>
          <w:numId w:val="3"/>
        </w:numPr>
        <w:spacing w:after="40" w:before="40" w:line="300"/>
      </w:pPr>
      <w:r>
        <w:t xml:space="preserve">What capability patterns are already evidenced across the current AI use case landscape and dependent enterprise platforms?</w:t>
      </w:r>
    </w:p>
    <w:p>
      <w:pPr>
        <w:pStyle w:val="ListParagraph"/>
        <w:numPr>
          <w:ilvl w:val="0"/>
          <w:numId w:val="3"/>
        </w:numPr>
        <w:spacing w:after="40" w:before="40" w:line="300"/>
      </w:pPr>
      <w:r>
        <w:t xml:space="preserve">Where are the material gaps, fragmentation points, dependencies, and control weaknesses between the target model and the current state?</w:t>
      </w:r>
    </w:p>
    <w:p>
      <w:pPr>
        <w:pStyle w:val="ListParagraph"/>
        <w:numPr>
          <w:ilvl w:val="0"/>
          <w:numId w:val="3"/>
        </w:numPr>
        <w:spacing w:after="40" w:before="40" w:line="300"/>
      </w:pPr>
      <w:r>
        <w:t xml:space="preserve">Which of these gaps must be validated through targeted POCs before being productised as shared enterprise services?</w:t>
      </w:r>
    </w:p>
    <w:p>
      <w:pPr>
        <w:spacing w:after="80" w:before="80" w:line="300"/>
      </w:pPr>
      <w:r>
        <w:t xml:space="preserve">The deliverable is therefore a capability gap view and a prioritised POC slate, not a technology selection or procurement recommendation.</w:t>
      </w:r>
    </w:p>
    <w:p>
      <w:pPr>
        <w:pStyle w:val="Heading1"/>
        <w:spacing w:after="160" w:before="360"/>
      </w:pPr>
      <w:r>
        <w:t xml:space="preserve">4. Assessment Approach</w:t>
      </w:r>
    </w:p>
    <w:p>
      <w:pPr>
        <w:spacing w:after="80" w:before="80" w:line="300"/>
      </w:pPr>
      <w:r>
        <w:t xml:space="preserve">The assessment draws on the following architectural inputs:</w:t>
      </w:r>
    </w:p>
    <w:p>
      <w:pPr>
        <w:pStyle w:val="ListParagraph"/>
        <w:numPr>
          <w:ilvl w:val="0"/>
          <w:numId w:val="2"/>
        </w:numPr>
        <w:spacing w:after="40" w:before="40" w:line="300"/>
      </w:pPr>
      <w:r>
        <w:t xml:space="preserve">the A1 enterprise reference architecture for unstructured data, including the Fabric / Data Product Access Layer and the dual access model;</w:t>
      </w:r>
    </w:p>
    <w:p>
      <w:pPr>
        <w:pStyle w:val="ListParagraph"/>
        <w:numPr>
          <w:ilvl w:val="0"/>
          <w:numId w:val="2"/>
        </w:numPr>
        <w:spacing w:after="40" w:before="40" w:line="300"/>
      </w:pPr>
      <w:r>
        <w:t xml:space="preserve">architecture and solution patterns evidenced in the known reference use cases;</w:t>
      </w:r>
    </w:p>
    <w:p>
      <w:pPr>
        <w:pStyle w:val="ListParagraph"/>
        <w:numPr>
          <w:ilvl w:val="0"/>
          <w:numId w:val="2"/>
        </w:numPr>
        <w:spacing w:after="40" w:before="40" w:line="300"/>
      </w:pPr>
      <w:r>
        <w:t xml:space="preserve">working-group socialisation feedback received during initial circulation of the A1 architecture;</w:t>
      </w:r>
    </w:p>
    <w:p>
      <w:pPr>
        <w:pStyle w:val="ListParagraph"/>
        <w:numPr>
          <w:ilvl w:val="0"/>
          <w:numId w:val="2"/>
        </w:numPr>
        <w:spacing w:after="40" w:before="40" w:line="300"/>
      </w:pPr>
      <w:r>
        <w:t xml:space="preserve">enterprise alignment signals from Fabric, Group AI, Metadata and Catalogue, Governance, and Security forums.</w:t>
      </w:r>
    </w:p>
    <w:p>
      <w:pPr>
        <w:spacing w:after="80" w:before="80" w:line="300"/>
      </w:pPr>
      <w:r>
        <w:t xml:space="preserve">A consistent method is applied to each capability area:</w:t>
      </w:r>
    </w:p>
    <w:p>
      <w:pPr>
        <w:pStyle w:val="ListParagraph"/>
        <w:numPr>
          <w:ilvl w:val="0"/>
          <w:numId w:val="2"/>
        </w:numPr>
        <w:spacing w:after="40" w:before="40" w:line="300"/>
      </w:pPr>
      <w:r>
        <w:t xml:space="preserve">state the target capability as defined in the reference architecture;</w:t>
      </w:r>
    </w:p>
    <w:p>
      <w:pPr>
        <w:pStyle w:val="ListParagraph"/>
        <w:numPr>
          <w:ilvl w:val="0"/>
          <w:numId w:val="2"/>
        </w:numPr>
        <w:spacing w:after="40" w:before="40" w:line="300"/>
      </w:pPr>
      <w:r>
        <w:t xml:space="preserve">describe the current-state evidence drawn from the reference use cases and observable enterprise landscape;</w:t>
      </w:r>
    </w:p>
    <w:p>
      <w:pPr>
        <w:pStyle w:val="ListParagraph"/>
        <w:numPr>
          <w:ilvl w:val="0"/>
          <w:numId w:val="2"/>
        </w:numPr>
        <w:spacing w:after="40" w:before="40" w:line="300"/>
      </w:pPr>
      <w:r>
        <w:t xml:space="preserve">assign a capability rating using the framework in Section 6;</w:t>
      </w:r>
    </w:p>
    <w:p>
      <w:pPr>
        <w:pStyle w:val="ListParagraph"/>
        <w:numPr>
          <w:ilvl w:val="0"/>
          <w:numId w:val="2"/>
        </w:numPr>
        <w:spacing w:after="40" w:before="40" w:line="300"/>
      </w:pPr>
      <w:r>
        <w:t xml:space="preserve">articulate the architectural gap — the material distance between target and current state, expressed in architecture consequence terms rather than project language;</w:t>
      </w:r>
    </w:p>
    <w:p>
      <w:pPr>
        <w:pStyle w:val="ListParagraph"/>
        <w:numPr>
          <w:ilvl w:val="0"/>
          <w:numId w:val="2"/>
        </w:numPr>
        <w:spacing w:after="40" w:before="40" w:line="300"/>
      </w:pPr>
      <w:r>
        <w:t xml:space="preserve">derive the POC need as a direct consequence of the gap.</w:t>
      </w:r>
    </w:p>
    <w:p>
      <w:pPr>
        <w:spacing w:after="80" w:before="80" w:line="300"/>
      </w:pPr>
      <w:r>
        <w:t xml:space="preserve">No capability has been rated without at least one explicit evidence reference or an explicit statement of absence.</w:t>
      </w:r>
    </w:p>
    <w:p>
      <w:pPr>
        <w:pStyle w:val="Heading1"/>
        <w:spacing w:after="160" w:before="360"/>
      </w:pPr>
      <w:r>
        <w:t xml:space="preserve">5. Reference Use Cases Used as Evidence</w:t>
      </w:r>
    </w:p>
    <w:p>
      <w:pPr>
        <w:spacing w:after="80" w:before="80" w:line="300"/>
      </w:pPr>
      <w:r>
        <w:t xml:space="preserve">Three reference use cases are used as the evidence base for this assessment. They are not the target architecture; they are observable delivery patterns used to establish current-state maturity across capability areas.</w:t>
      </w:r>
    </w:p>
    <w:p>
      <w:pPr>
        <w:pStyle w:val="Heading2"/>
        <w:spacing w:after="120" w:before="240"/>
      </w:pPr>
      <w:r>
        <w:t xml:space="preserve">5.1 Codifying the Bank — document-centric, knowledge-led processing</w:t>
      </w:r>
    </w:p>
    <w:p>
      <w:pPr>
        <w:spacing w:after="80" w:before="80" w:line="300"/>
      </w:pPr>
      <w:r>
        <w:t xml:space="preserve">Provides the richest evidence base for document ingestion and canonicalisation, deterministic and stateful orchestration (LangGraph-style), MCP-governed interaction with shared AI platform services, chunking and embedding patterns, entity and relationship extraction, and the coexistence of graph and vector persistence within knowledge workflows. Used as the primary reference point for orchestration, governed AI integration, semantic processing, and the graph-and-vector coexistence pattern.</w:t>
      </w:r>
    </w:p>
    <w:p>
      <w:pPr>
        <w:pStyle w:val="Heading2"/>
        <w:spacing w:after="120" w:before="240"/>
      </w:pPr>
      <w:r>
        <w:t xml:space="preserve">5.2 Voice and Audio — modality-led processing</w:t>
      </w:r>
    </w:p>
    <w:p>
      <w:pPr>
        <w:spacing w:after="80" w:before="80" w:line="300"/>
      </w:pPr>
      <w:r>
        <w:t xml:space="preserve">Provides the strongest evidence for non-document modalities: audio ingestion, speech-to-text, transcript segmentation and transformation, handling of sensitive interaction content, and downstream serving into analytical, graph, vector, and relational stores. Used as the primary reference point for modality-aware preparation, transcript handling, and the translation of unstructured interaction content into structured and semantic outputs.</w:t>
      </w:r>
    </w:p>
    <w:p>
      <w:pPr>
        <w:pStyle w:val="Heading2"/>
        <w:spacing w:after="120" w:before="240"/>
      </w:pPr>
      <w:r>
        <w:t xml:space="preserve">5.3 Knowledge Management — governed, retrieval-led consumption</w:t>
      </w:r>
    </w:p>
    <w:p>
      <w:pPr>
        <w:spacing w:after="80" w:before="80" w:line="300"/>
      </w:pPr>
      <w:r>
        <w:t xml:space="preserve">Provides the strongest evidence for user-facing retrieval and governed consumption patterns: managed content retrieval, metadata and content separation, cache and session behaviour, governed AI access with guardrails (DLP, content safety, hallucination controls), and API-mediated consumption. Used as the primary reference point for retrieval and serving patterns, managed content access models, and governed user-facing AI consumption.</w:t>
      </w:r>
    </w:p>
    <w:p>
      <w:pPr>
        <w:spacing w:after="80" w:before="80" w:line="300"/>
      </w:pPr>
      <w:r>
        <w:t xml:space="preserve">These three patterns are representative for the purposes of this assessment but are not exhaustive. Capability areas evidenced across more than one pattern are rated with higher confidence than those evidenced in only one.</w:t>
      </w:r>
    </w:p>
    <w:p>
      <w:pPr>
        <w:pStyle w:val="Heading1"/>
        <w:spacing w:after="160" w:before="360"/>
      </w:pPr>
      <w:r>
        <w:t xml:space="preserve">6. Capability Assessment Framework</w:t>
      </w:r>
    </w:p>
    <w:p>
      <w:pPr>
        <w:spacing w:after="80" w:before="80" w:line="300"/>
      </w:pPr>
      <w:r>
        <w:t xml:space="preserve">Each capability area is rated using the rubric below. Ratings are based on evidence across the reference use cases and dependent enterprise platforms, not on architectural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rPr>
          <w:tblHeader/>
        </w:trPr>
        <w:tc>
          <w:tcPr>
            <w:tcW w:type="dxa" w:w="1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Rating</w:t>
            </w:r>
          </w:p>
        </w:tc>
        <w:tc>
          <w:tcPr>
            <w:tcW w:type="dxa" w:w="216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Definition</w:t>
            </w:r>
          </w:p>
        </w:tc>
        <w:tc>
          <w:tcPr>
            <w:tcW w:type="dxa" w:w="3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Evidence criteria</w:t>
            </w:r>
          </w:p>
        </w:tc>
        <w:tc>
          <w:tcPr>
            <w:tcW w:type="dxa" w:w="3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Architectural implication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Present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Capability is evidenced as a reusable enterprise pattern.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Evidenced across two or more use cases; exists as a shared service or consistent pattern; governance controls are applied.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No POC required for existence; may require enhancement or consolidation.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Capability is evidenced but in an inconsistent or limited form.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Evidenced in one or more use cases; pattern understood; shared implementation not yet in place.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Requires standardisation or shared-service design; POC may be needed for consolidation.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Fragmented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Capability exists only in use-case-specific implementations without a shared standard.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Multiple diverging implementations; no shared pattern; control implementation inconsistent.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Requires architectural rationalisation; POC required to validate a common pattern.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Absent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Capability is not evidenced in the current landscape.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No implementation or pattern visible in current use cases or platforms.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Requires capability definition and POC validation before enterprise rollout.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Dependency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Capability is delivered by another team or platform and requires active alignment.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Exists in another workstream's scope (e.g. Fabric, Group AI, Metadata / Catalogue).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Requires explicit dependency management rather than local build; may require joint POC.</w:t>
            </w:r>
          </w:p>
        </w:tc>
      </w:tr>
    </w:tbl>
    <w:p>
      <w:pPr>
        <w:spacing w:after="80" w:before="80" w:line="300"/>
      </w:pPr>
      <w:r>
        <w:t xml:space="preserve">A single capability area may attract more than one rating where sub-capabilities are at different levels of maturity. Where this occurs, the dominant rating is stated first.</w:t>
      </w:r>
    </w:p>
    <w:p>
      <w:pPr>
        <w:pStyle w:val="Heading1"/>
        <w:spacing w:after="160" w:before="360"/>
      </w:pPr>
      <w:r>
        <w:t xml:space="preserve">7. Core Capability Gap Assessment</w:t>
      </w:r>
    </w:p>
    <w:p>
      <w:pPr>
        <w:spacing w:after="80" w:before="80" w:line="300"/>
      </w:pPr>
      <w:r>
        <w:t xml:space="preserve">Each subsection states the target capability, current-state evidence, rating, architectural gap, and POC need.</w:t>
      </w:r>
    </w:p>
    <w:p>
      <w:pPr>
        <w:pStyle w:val="Heading2"/>
        <w:spacing w:after="120" w:before="240"/>
      </w:pPr>
      <w:r>
        <w:t xml:space="preserve">7.1 Source Onboarding and Ingestion</w:t>
      </w:r>
    </w:p>
    <w:p>
      <w:pPr>
        <w:spacing w:after="80" w:before="80" w:line="300"/>
      </w:pPr>
      <w:r>
        <w:rPr>
          <w:b/>
          <w:bCs/>
          <w:i/>
          <w:iCs/>
        </w:rPr>
        <w:t xml:space="preserve">Target capability. </w:t>
      </w:r>
      <w:r>
        <w:t xml:space="preserve">A common onboarding and ingestion model across heterogeneous source domains, providing source registration and ownership, intake connectors for API, batch, event, stream, and crawler patterns, landing with validation and quarantine, and policy-aware routing as the first control decision point.</w:t>
      </w:r>
    </w:p>
    <w:p>
      <w:pPr>
        <w:spacing w:after="80" w:before="80" w:line="300"/>
      </w:pPr>
      <w:r>
        <w:rPr>
          <w:b/>
          <w:bCs/>
          <w:i/>
          <w:iCs/>
        </w:rPr>
        <w:t xml:space="preserve">Current-state evidence. </w:t>
      </w:r>
      <w:r>
        <w:t xml:space="preserve">Source-specific ingestion exists across all three reference use cases: document batch and repository intake in Codifying the Bank, managed audio landing into cloud object storage in the Voice and Audio patterns, and API-gateway-led content ingest in Knowledge Management. Each is implemented in a manner consistent with its use case but none exposes reusable source registration, ownership, or a common validation and quarantine pattern.</w:t>
      </w:r>
    </w:p>
    <w:p>
      <w:pPr>
        <w:spacing w:after="80" w:before="80" w:line="300"/>
      </w:pPr>
      <w:r>
        <w:rPr>
          <w:b/>
          <w:bCs/>
          <w:i/>
          <w:iCs/>
        </w:rPr>
        <w:t xml:space="preserve">Rating. </w:t>
      </w:r>
      <w:r>
        <w:rPr>
          <w:b/>
          <w:bCs/>
        </w:rPr>
        <w:t xml:space="preserve">Fragmented / Partial</w:t>
      </w:r>
    </w:p>
    <w:p>
      <w:pPr>
        <w:spacing w:after="80" w:before="80" w:line="300"/>
      </w:pPr>
      <w:r>
        <w:rPr>
          <w:b/>
          <w:bCs/>
          <w:i/>
          <w:iCs/>
        </w:rPr>
        <w:t xml:space="preserve">Architectural gap. </w:t>
      </w:r>
      <w:r>
        <w:t xml:space="preserve">The reference architecture positions ingestion as the first enterprise control boundary, with policy-aware routing as the decision point that determines downstream paths by sensitivity, trust, residency, and processing profile. The current landscape has no reusable implementation of this boundary. Source registration, ownership, and routing exist implicitly inside individual solutions and do not operate as an enterprise control plane. The absence of a governed, reusable onboarding layer is the most significant single risk to enterprise consistency, auditability, and sovereignty enforcement for unstructured content.</w:t>
      </w:r>
    </w:p>
    <w:p>
      <w:pPr>
        <w:spacing w:after="80" w:before="80" w:line="300"/>
      </w:pPr>
      <w:r>
        <w:rPr>
          <w:b/>
          <w:bCs/>
          <w:i/>
          <w:iCs/>
        </w:rPr>
        <w:t xml:space="preserve">POC need. </w:t>
      </w:r>
      <w:r>
        <w:t xml:space="preserve">Validate a reusable onboarding pattern across at least four source classes (document, repository/file, audio/transcript, operational workflow) covering source registration, connector abstraction, landing and quarantine, and policy-aware routing decisions.</w:t>
      </w:r>
    </w:p>
    <w:p>
      <w:pPr>
        <w:pStyle w:val="Heading2"/>
        <w:spacing w:after="120" w:before="240"/>
      </w:pPr>
      <w:r>
        <w:t xml:space="preserve">7.2 Content Preparation and Normalisation</w:t>
      </w:r>
    </w:p>
    <w:p>
      <w:pPr>
        <w:spacing w:after="80" w:before="80" w:line="300"/>
      </w:pPr>
      <w:r>
        <w:rPr>
          <w:b/>
          <w:bCs/>
          <w:i/>
          <w:iCs/>
        </w:rPr>
        <w:t xml:space="preserve">Target capability. </w:t>
      </w:r>
      <w:r>
        <w:t xml:space="preserve">Modality-aware preparation producing canonical, governed content ready for downstream semantic processing, storage, and retrieval. Includes format detection and modality routing, extraction services (document parsing, OCR, speech-to-text, thread normalisation), canonicalisation and deduplication, metadata enrichment and classification, and redaction and sensitive-data handling as a mandatory gate before semantic processing.</w:t>
      </w:r>
    </w:p>
    <w:p>
      <w:pPr>
        <w:spacing w:after="80" w:before="80" w:line="300"/>
      </w:pPr>
      <w:r>
        <w:rPr>
          <w:b/>
          <w:bCs/>
          <w:i/>
          <w:iCs/>
        </w:rPr>
        <w:t xml:space="preserve">Current-state evidence. </w:t>
      </w:r>
      <w:r>
        <w:t xml:space="preserve">Preparation paths are evidenced for all three modalities: document canonicalisation to markdown and chunking in Codifying the Bank; speech-to-text and transcript transformation in the Voice and Audio pattern; managed content extraction and classification in Knowledge Management. Metadata enrichment and classification are inconsistent across patterns; redaction is implemented narrowly and is not consistently invoked before semantic processing.</w:t>
      </w:r>
    </w:p>
    <w:p>
      <w:pPr>
        <w:spacing w:after="80" w:before="80" w:line="300"/>
      </w:pPr>
      <w:r>
        <w:rPr>
          <w:b/>
          <w:bCs/>
          <w:i/>
          <w:iCs/>
        </w:rPr>
        <w:t xml:space="preserve">Rating. </w:t>
      </w:r>
      <w:r>
        <w:rPr>
          <w:b/>
          <w:bCs/>
        </w:rPr>
        <w:t xml:space="preserve">Partial / Fragmented</w:t>
      </w:r>
    </w:p>
    <w:p>
      <w:pPr>
        <w:spacing w:after="80" w:before="80" w:line="300"/>
      </w:pPr>
      <w:r>
        <w:rPr>
          <w:b/>
          <w:bCs/>
          <w:i/>
          <w:iCs/>
        </w:rPr>
        <w:t xml:space="preserve">Architectural gap. </w:t>
      </w:r>
      <w:r>
        <w:t xml:space="preserve">The three observable preparation patterns are conceptually aligned but structurally distinct. There is no shared canonical content representation, no common modality-router abstraction, and no enforced redaction gate between preparation and semantic processing. This produces divergent enrichment and classification schemes across use cases, undermines the downstream reusability of embeddings, graphs, and retrieval indexes, and prevents consistent application of DLP, classification, and residency controls.</w:t>
      </w:r>
    </w:p>
    <w:p>
      <w:pPr>
        <w:spacing w:after="80" w:before="80" w:line="300"/>
      </w:pPr>
      <w:r>
        <w:rPr>
          <w:b/>
          <w:bCs/>
          <w:i/>
          <w:iCs/>
        </w:rPr>
        <w:t xml:space="preserve">POC need. </w:t>
      </w:r>
      <w:r>
        <w:t xml:space="preserve">Validate a common preparation pattern across document, email and communication, audio transcript, and operational record content, with an enforced redaction and classification gate before semantic processing.</w:t>
      </w:r>
    </w:p>
    <w:p>
      <w:pPr>
        <w:pStyle w:val="Heading2"/>
        <w:spacing w:after="120" w:before="240"/>
      </w:pPr>
      <w:r>
        <w:t xml:space="preserve">7.3 Metadata, Lineage, and Provenance</w:t>
      </w:r>
    </w:p>
    <w:p>
      <w:pPr>
        <w:spacing w:after="80" w:before="80" w:line="300"/>
      </w:pPr>
      <w:r>
        <w:rPr>
          <w:b/>
          <w:bCs/>
          <w:i/>
          <w:iCs/>
        </w:rPr>
        <w:t xml:space="preserve">Target capability. </w:t>
      </w:r>
      <w:r>
        <w:t xml:space="preserve">An enterprise-aligned metadata, lineage, and provenance model covering source metadata, business metadata, processing lineage, and provenance chains, with mandatory publication and alignment to enterprise catalogue and Fabric services. Local operational metadata is permitted for execution purposes but must not remain isolated.</w:t>
      </w:r>
    </w:p>
    <w:p>
      <w:pPr>
        <w:spacing w:after="80" w:before="80" w:line="300"/>
      </w:pPr>
      <w:r>
        <w:rPr>
          <w:b/>
          <w:bCs/>
          <w:i/>
          <w:iCs/>
        </w:rPr>
        <w:t xml:space="preserve">Current-state evidence. </w:t>
      </w:r>
      <w:r>
        <w:t xml:space="preserve">Metadata concepts are visible within individual use cases: operational metadata for Codifying the Bank's workflow state; structured metadata in the Knowledge Management SQL store; business metadata implicit in Voice and Audio analytical serving. None of the use cases currently publishes lineage or metadata into an enterprise catalogue in a way that aligns with Fabric access requirements.</w:t>
      </w:r>
    </w:p>
    <w:p>
      <w:pPr>
        <w:spacing w:after="80" w:before="80" w:line="300"/>
      </w:pPr>
      <w:r>
        <w:rPr>
          <w:b/>
          <w:bCs/>
          <w:i/>
          <w:iCs/>
        </w:rPr>
        <w:t xml:space="preserve">Rating. </w:t>
      </w:r>
      <w:r>
        <w:rPr>
          <w:b/>
          <w:bCs/>
        </w:rPr>
        <w:t xml:space="preserve">Partial / Dependency</w:t>
      </w:r>
    </w:p>
    <w:p>
      <w:pPr>
        <w:spacing w:after="80" w:before="80" w:line="300"/>
      </w:pPr>
      <w:r>
        <w:rPr>
          <w:b/>
          <w:bCs/>
          <w:i/>
          <w:iCs/>
        </w:rPr>
        <w:t xml:space="preserve">Architectural gap. </w:t>
      </w:r>
      <w:r>
        <w:t xml:space="preserve">Metadata and lineage are currently treated as local execution artefacts rather than as enterprise control evidence. Without published lineage and provenance, the architecture cannot demonstrate end-to-end traceability, auditability, or regulatory defensibility — all of which are mandatory, not discretionary, in this environment. The gap is compounded by a hard dependency on the enterprise Metadata, Catalogue, and Fabric workstreams, whose target standards are still forming.</w:t>
      </w:r>
    </w:p>
    <w:p>
      <w:pPr>
        <w:spacing w:after="80" w:before="80" w:line="300"/>
      </w:pPr>
      <w:r>
        <w:rPr>
          <w:b/>
          <w:bCs/>
          <w:i/>
          <w:iCs/>
        </w:rPr>
        <w:t xml:space="preserve">POC need. </w:t>
      </w:r>
      <w:r>
        <w:t xml:space="preserve">Validate a minimum enterprise metadata and provenance model together with a lineage publication path into the enterprise catalogue and Fabric, applied across one document-led and one interaction-led use case.</w:t>
      </w:r>
    </w:p>
    <w:p>
      <w:pPr>
        <w:pStyle w:val="Heading2"/>
        <w:spacing w:after="120" w:before="240"/>
      </w:pPr>
      <w:r>
        <w:t xml:space="preserve">7.4 Sensitive Data Controls and Redaction</w:t>
      </w:r>
    </w:p>
    <w:p>
      <w:pPr>
        <w:spacing w:after="80" w:before="80" w:line="300"/>
      </w:pPr>
      <w:r>
        <w:rPr>
          <w:b/>
          <w:bCs/>
          <w:i/>
          <w:iCs/>
        </w:rPr>
        <w:t xml:space="preserve">Target capability. </w:t>
      </w:r>
      <w:r>
        <w:t xml:space="preserve">A shared control model for PII and sensitive-content detection, redaction and masking, policy-driven processing restrictions, and support for restricted-content routing — applied before semantic processing and reinforced at retrieval time.</w:t>
      </w:r>
    </w:p>
    <w:p>
      <w:pPr>
        <w:spacing w:after="80" w:before="80" w:line="300"/>
      </w:pPr>
      <w:r>
        <w:rPr>
          <w:b/>
          <w:bCs/>
          <w:i/>
          <w:iCs/>
        </w:rPr>
        <w:t xml:space="preserve">Current-state evidence. </w:t>
      </w:r>
      <w:r>
        <w:t xml:space="preserve">Sensitive-content controls exist narrowly: AI-platform-level DLP and content safety provided through Group AI core guardrails in Knowledge Management; localised transcript handling within the Voice and Audio flow. Controls are not applied consistently before embedding, graph build, or vector persistence and are not standardised across modalities.</w:t>
      </w:r>
    </w:p>
    <w:p>
      <w:pPr>
        <w:spacing w:after="80" w:before="80" w:line="300"/>
      </w:pPr>
      <w:r>
        <w:rPr>
          <w:b/>
          <w:bCs/>
          <w:i/>
          <w:iCs/>
        </w:rPr>
        <w:t xml:space="preserve">Rating. </w:t>
      </w:r>
      <w:r>
        <w:rPr>
          <w:b/>
          <w:bCs/>
        </w:rPr>
        <w:t xml:space="preserve">Fragmented</w:t>
      </w:r>
    </w:p>
    <w:p>
      <w:pPr>
        <w:spacing w:after="80" w:before="80" w:line="300"/>
      </w:pPr>
      <w:r>
        <w:rPr>
          <w:b/>
          <w:bCs/>
          <w:i/>
          <w:iCs/>
        </w:rPr>
        <w:t xml:space="preserve">Architectural gap. </w:t>
      </w:r>
      <w:r>
        <w:t xml:space="preserve">The reference architecture requires sensitive-content controls to be applied as a gate before semantic processing and again at retrieval time. Today, controls are distributed unevenly between platform guardrails and use-case code, with no assurance that embeddings or graph nodes are free from sensitive content and no consistent enforcement across modalities. In a regulated environment this is a first-order control weakness, not a refinement opportunity.</w:t>
      </w:r>
    </w:p>
    <w:p>
      <w:pPr>
        <w:spacing w:after="80" w:before="80" w:line="300"/>
      </w:pPr>
      <w:r>
        <w:rPr>
          <w:b/>
          <w:bCs/>
          <w:i/>
          <w:iCs/>
        </w:rPr>
        <w:t xml:space="preserve">POC need. </w:t>
      </w:r>
      <w:r>
        <w:t xml:space="preserve">Validate a shared redaction and sensitive-data control service applied at the preparation gate across document, transcript, and communication content, with verifiable evidence that downstream embeddings, graphs, and persisted artefacts comply with classification policy.</w:t>
      </w:r>
    </w:p>
    <w:p>
      <w:pPr>
        <w:pStyle w:val="Heading2"/>
        <w:spacing w:after="120" w:before="240"/>
      </w:pPr>
      <w:r>
        <w:t xml:space="preserve">7.5 Orchestration and Workflow Execution</w:t>
      </w:r>
    </w:p>
    <w:p>
      <w:pPr>
        <w:spacing w:after="80" w:before="80" w:line="300"/>
      </w:pPr>
      <w:r>
        <w:rPr>
          <w:b/>
          <w:bCs/>
          <w:i/>
          <w:iCs/>
        </w:rPr>
        <w:t xml:space="preserve">Target capability. </w:t>
      </w:r>
      <w:r>
        <w:t xml:space="preserve">A governed execution model supporting deterministic workflows as the default, stateful agents where explicitly justified, and consistent patterns for replay, retry, exception handling, and human-in-the-loop (HITL) intervention. HITL review is mandatory for AI-generated content before it is persisted or published as an authoritative enterprise artefact.</w:t>
      </w:r>
    </w:p>
    <w:p>
      <w:pPr>
        <w:spacing w:after="80" w:before="80" w:line="300"/>
      </w:pPr>
      <w:r>
        <w:rPr>
          <w:b/>
          <w:bCs/>
          <w:i/>
          <w:iCs/>
        </w:rPr>
        <w:t xml:space="preserve">Current-state evidence. </w:t>
      </w:r>
      <w:r>
        <w:t xml:space="preserve">A mature stateful orchestration pattern is evidenced in Codifying the Bank (LangGraph-based, with HITL gates for reauthoring and validation). Orchestration patterns in the Voice and Audio and Knowledge Management use cases are simpler and less evidenced. Cross-use-case criteria for when stateful agents are justified have not been formalised.</w:t>
      </w:r>
    </w:p>
    <w:p>
      <w:pPr>
        <w:spacing w:after="80" w:before="80" w:line="300"/>
      </w:pPr>
      <w:r>
        <w:rPr>
          <w:b/>
          <w:bCs/>
          <w:i/>
          <w:iCs/>
        </w:rPr>
        <w:t xml:space="preserve">Rating. </w:t>
      </w:r>
      <w:r>
        <w:rPr>
          <w:b/>
          <w:bCs/>
        </w:rPr>
        <w:t xml:space="preserve">Present (single use case) / Bespoke in practice</w:t>
      </w:r>
    </w:p>
    <w:p>
      <w:pPr>
        <w:spacing w:after="80" w:before="80" w:line="300"/>
      </w:pPr>
      <w:r>
        <w:rPr>
          <w:b/>
          <w:bCs/>
          <w:i/>
          <w:iCs/>
        </w:rPr>
        <w:t xml:space="preserve">Architectural gap. </w:t>
      </w:r>
      <w:r>
        <w:t xml:space="preserve">The workstream has a strong single-use-case pattern but not a validated enterprise orchestration standard. Criteria for deterministic versus stateful agent execution, the standard HITL control surface, exception-queue semantics, and the operational observability required of long-running workflows are not defined at enterprise level. Without these, new use cases will continue to reinvent orchestration locally, entrenching fragmentation rather than reducing it.</w:t>
      </w:r>
    </w:p>
    <w:p>
      <w:pPr>
        <w:spacing w:after="80" w:before="80" w:line="300"/>
      </w:pPr>
      <w:r>
        <w:rPr>
          <w:b/>
          <w:bCs/>
          <w:i/>
          <w:iCs/>
        </w:rPr>
        <w:t xml:space="preserve">POC need. </w:t>
      </w:r>
      <w:r>
        <w:t xml:space="preserve">Validate a reusable enterprise orchestration pattern, including deterministic-versus-agentic decision criteria, a common HITL control surface, exception and retry semantics, and orchestration observability integrated with AI Observability and FinOps.</w:t>
      </w:r>
    </w:p>
    <w:p>
      <w:pPr>
        <w:pStyle w:val="Heading2"/>
        <w:spacing w:after="120" w:before="240"/>
      </w:pPr>
      <w:r>
        <w:t xml:space="preserve">7.6 Semantic Services: Chunking, Embeddings, and Indexing</w:t>
      </w:r>
    </w:p>
    <w:p>
      <w:pPr>
        <w:spacing w:after="80" w:before="80" w:line="300"/>
      </w:pPr>
      <w:r>
        <w:rPr>
          <w:b/>
          <w:bCs/>
          <w:i/>
          <w:iCs/>
        </w:rPr>
        <w:t xml:space="preserve">Target capability. </w:t>
      </w:r>
      <w:r>
        <w:t xml:space="preserve">Reusable enterprise semantic services for chunking policies, embedding generation, index lifecycle management, and the minimum metadata required for governed semantic retrieval.</w:t>
      </w:r>
    </w:p>
    <w:p>
      <w:pPr>
        <w:spacing w:after="80" w:before="80" w:line="300"/>
      </w:pPr>
      <w:r>
        <w:rPr>
          <w:b/>
          <w:bCs/>
          <w:i/>
          <w:iCs/>
        </w:rPr>
        <w:t xml:space="preserve">Current-state evidence. </w:t>
      </w:r>
      <w:r>
        <w:t xml:space="preserve">Chunking and embedding patterns are evidenced in Codifying the Bank (semantic splitting, workflow-driven embedding) and in Knowledge Management retrieval flows. The two patterns are not aligned: chunking policies, embedding model choices, and index structures differ, and the criteria for shared versus local embedding are not defined.</w:t>
      </w:r>
    </w:p>
    <w:p>
      <w:pPr>
        <w:spacing w:after="80" w:before="80" w:line="300"/>
      </w:pPr>
      <w:r>
        <w:rPr>
          <w:b/>
          <w:bCs/>
          <w:i/>
          <w:iCs/>
        </w:rPr>
        <w:t xml:space="preserve">Rating. </w:t>
      </w:r>
      <w:r>
        <w:rPr>
          <w:b/>
          <w:bCs/>
        </w:rPr>
        <w:t xml:space="preserve">Partial / Fragmented</w:t>
      </w:r>
    </w:p>
    <w:p>
      <w:pPr>
        <w:spacing w:after="80" w:before="80" w:line="300"/>
      </w:pPr>
      <w:r>
        <w:rPr>
          <w:b/>
          <w:bCs/>
          <w:i/>
          <w:iCs/>
        </w:rPr>
        <w:t xml:space="preserve">Architectural gap. </w:t>
      </w:r>
      <w:r>
        <w:t xml:space="preserve">Chunking policy and embedding model selection have a disproportionate downstream effect on retrieval quality, cost, model governance, and regulatory evidence. Current divergence means embeddings are not portable across use cases and that re-indexing and model refresh cycles are managed locally. There is also no architectural position on whether semantic services should be centralised, federated, or use-case-local — an unresolved question that blocks decisions on shared infrastructure.</w:t>
      </w:r>
    </w:p>
    <w:p>
      <w:pPr>
        <w:spacing w:after="80" w:before="80" w:line="300"/>
      </w:pPr>
      <w:r>
        <w:rPr>
          <w:b/>
          <w:bCs/>
          <w:i/>
          <w:iCs/>
        </w:rPr>
        <w:t xml:space="preserve">POC need. </w:t>
      </w:r>
      <w:r>
        <w:t xml:space="preserve">Validate a common chunking policy framework, a reusable embedding service with governed model selection and FinOps integration, an indexing lifecycle pattern, and the minimum metadata required for governed retrieval.</w:t>
      </w:r>
    </w:p>
    <w:p>
      <w:pPr>
        <w:pStyle w:val="Heading2"/>
        <w:spacing w:after="120" w:before="240"/>
      </w:pPr>
      <w:r>
        <w:t xml:space="preserve">7.7 Knowledge Enrichment and Graph Build</w:t>
      </w:r>
    </w:p>
    <w:p>
      <w:pPr>
        <w:spacing w:after="80" w:before="80" w:line="300"/>
      </w:pPr>
      <w:r>
        <w:rPr>
          <w:b/>
          <w:bCs/>
          <w:i/>
          <w:iCs/>
        </w:rPr>
        <w:t xml:space="preserve">Target capability. </w:t>
      </w:r>
      <w:r>
        <w:t xml:space="preserve">A reusable pattern for entity and relationship extraction, ontology-aligned graph build, and publication of knowledge graph products through Fabric, together with a clear architectural position on when graph is additive to vector retrieval.</w:t>
      </w:r>
    </w:p>
    <w:p>
      <w:pPr>
        <w:spacing w:after="80" w:before="80" w:line="300"/>
      </w:pPr>
      <w:r>
        <w:rPr>
          <w:b/>
          <w:bCs/>
          <w:i/>
          <w:iCs/>
        </w:rPr>
        <w:t xml:space="preserve">Current-state evidence. </w:t>
      </w:r>
      <w:r>
        <w:t xml:space="preserve">The richest evidence sits in Codifying the Bank, where graph build coexists with embeddings in a workflow-led pattern. The Voice and Audio and Knowledge Management use cases do not yet demonstrate comparable graph patterns. No existing use case publishes graph-derived products through Fabric.</w:t>
      </w:r>
    </w:p>
    <w:p>
      <w:pPr>
        <w:spacing w:after="80" w:before="80" w:line="300"/>
      </w:pPr>
      <w:r>
        <w:rPr>
          <w:b/>
          <w:bCs/>
          <w:i/>
          <w:iCs/>
        </w:rPr>
        <w:t xml:space="preserve">Rating. </w:t>
      </w:r>
      <w:r>
        <w:rPr>
          <w:b/>
          <w:bCs/>
        </w:rPr>
        <w:t xml:space="preserve">Partial / Specialist</w:t>
      </w:r>
    </w:p>
    <w:p>
      <w:pPr>
        <w:spacing w:after="80" w:before="80" w:line="300"/>
      </w:pPr>
      <w:r>
        <w:rPr>
          <w:b/>
          <w:bCs/>
          <w:i/>
          <w:iCs/>
        </w:rPr>
        <w:t xml:space="preserve">Architectural gap. </w:t>
      </w:r>
      <w:r>
        <w:t xml:space="preserve">Graph remains a specialist capability rather than a reusable enterprise service. There is no agreed decision model for graph, vector, or hybrid; no enterprise definition of what constitutes a publishable knowledge graph product; and no governance pattern for KG product ownership, stewardship, contracts, SLAs, or consumer obligations. Fabric publication of graph products is an open architectural question without a current answer.</w:t>
      </w:r>
    </w:p>
    <w:p>
      <w:pPr>
        <w:spacing w:after="80" w:before="80" w:line="300"/>
      </w:pPr>
      <w:r>
        <w:rPr>
          <w:b/>
          <w:bCs/>
          <w:i/>
          <w:iCs/>
        </w:rPr>
        <w:t xml:space="preserve">POC need. </w:t>
      </w:r>
      <w:r>
        <w:t xml:space="preserve">Validate graph build from unstructured content, the minimum definition of a publishable knowledge graph product (interface, contracts, SLAs), and Fabric exposure of graph-derived products — paired with a decision framework for graph versus vector application.</w:t>
      </w:r>
    </w:p>
    <w:p>
      <w:pPr>
        <w:pStyle w:val="Heading2"/>
        <w:spacing w:after="120" w:before="240"/>
      </w:pPr>
      <w:r>
        <w:t xml:space="preserve">7.8 Governed AI Integration</w:t>
      </w:r>
    </w:p>
    <w:p>
      <w:pPr>
        <w:spacing w:after="80" w:before="80" w:line="300"/>
      </w:pPr>
      <w:r>
        <w:rPr>
          <w:b/>
          <w:bCs/>
          <w:i/>
          <w:iCs/>
        </w:rPr>
        <w:t xml:space="preserve">Target capability. </w:t>
      </w:r>
      <w:r>
        <w:t xml:space="preserve">A governed AI interaction layer comprising MCP client and MCP gateway for tool and service access, access to shared AI platform services (LLMs, embedding models, moderation, ML), and AI Observability and FinOps as first-class enterprise controls.</w:t>
      </w:r>
    </w:p>
    <w:p>
      <w:pPr>
        <w:spacing w:after="80" w:before="80" w:line="300"/>
      </w:pPr>
      <w:r>
        <w:rPr>
          <w:b/>
          <w:bCs/>
          <w:i/>
          <w:iCs/>
        </w:rPr>
        <w:t xml:space="preserve">Current-state evidence. </w:t>
      </w:r>
      <w:r>
        <w:t xml:space="preserve">MCP client and gateway usage is evidenced in Codifying the Bank. Shared AI platform access is evidenced across all three use cases through Group AI. AI Observability and FinOps controls are not evidenced as a consistent enterprise capability; cost attribution, quota enforcement, latency tracking, and model governance telemetry are partial at best.</w:t>
      </w:r>
    </w:p>
    <w:p>
      <w:pPr>
        <w:spacing w:after="80" w:before="80" w:line="300"/>
      </w:pPr>
      <w:r>
        <w:rPr>
          <w:b/>
          <w:bCs/>
          <w:i/>
          <w:iCs/>
        </w:rPr>
        <w:t xml:space="preserve">Rating. </w:t>
      </w:r>
      <w:r>
        <w:rPr>
          <w:b/>
          <w:bCs/>
        </w:rPr>
        <w:t xml:space="preserve">Partial / Dependency</w:t>
      </w:r>
    </w:p>
    <w:p>
      <w:pPr>
        <w:spacing w:after="80" w:before="80" w:line="300"/>
      </w:pPr>
      <w:r>
        <w:rPr>
          <w:b/>
          <w:bCs/>
          <w:i/>
          <w:iCs/>
        </w:rPr>
        <w:t xml:space="preserve">Architectural gap. </w:t>
      </w:r>
      <w:r>
        <w:t xml:space="preserve">MCP is understood as a governed integration pattern in Codifying the Bank, but its enterprise scope and operating model are not defined. More materially, AI Observability and FinOps are treated today as operational concerns rather than architectural controls; this is incompatible with the workstream principle that observability and cost governance are enterprise control requirements. Heavy dependency on the Group AI roadmap means this gap cannot be closed by the workstream alone.</w:t>
      </w:r>
    </w:p>
    <w:p>
      <w:pPr>
        <w:spacing w:after="80" w:before="80" w:line="300"/>
      </w:pPr>
      <w:r>
        <w:rPr>
          <w:b/>
          <w:bCs/>
          <w:i/>
          <w:iCs/>
        </w:rPr>
        <w:t xml:space="preserve">POC need. </w:t>
      </w:r>
      <w:r>
        <w:t xml:space="preserve">Validate the MCP scope and operating model across at least two use cases, a governed shared-AI access pattern with enforceable FinOps telemetry and quota management, and model governance evidence suitable for audit.</w:t>
      </w:r>
    </w:p>
    <w:p>
      <w:pPr>
        <w:pStyle w:val="Heading2"/>
        <w:spacing w:after="120" w:before="240"/>
      </w:pPr>
      <w:r>
        <w:t xml:space="preserve">7.9 Persistence Services</w:t>
      </w:r>
    </w:p>
    <w:p>
      <w:pPr>
        <w:spacing w:after="80" w:before="80" w:line="300"/>
      </w:pPr>
      <w:r>
        <w:rPr>
          <w:b/>
          <w:bCs/>
          <w:i/>
          <w:iCs/>
        </w:rPr>
        <w:t xml:space="preserve">Target capability. </w:t>
      </w:r>
      <w:r>
        <w:t xml:space="preserve">A clear separation of persistence roles — raw and processed content, metadata and lineage, analytical and relational, vector, graph, and session and cache — each with defined retention, classification, and access semantics.</w:t>
      </w:r>
    </w:p>
    <w:p>
      <w:pPr>
        <w:spacing w:after="80" w:before="80" w:line="300"/>
      </w:pPr>
      <w:r>
        <w:rPr>
          <w:b/>
          <w:bCs/>
          <w:i/>
          <w:iCs/>
        </w:rPr>
        <w:t xml:space="preserve">Current-state evidence. </w:t>
      </w:r>
      <w:r>
        <w:t xml:space="preserve">Role-based persistence is evidenced informally: cloud object storage, analytical warehousing, graph, and vector stores in Codifying the Bank; analytical, graph, vector, and relational stores in the Voice and Audio unified data layer; blob, SQL, and cache stores in Knowledge Management. Retention, classification propagation, and residency enforcement across these stores are not standardised.</w:t>
      </w:r>
    </w:p>
    <w:p>
      <w:pPr>
        <w:spacing w:after="80" w:before="80" w:line="300"/>
      </w:pPr>
      <w:r>
        <w:rPr>
          <w:b/>
          <w:bCs/>
          <w:i/>
          <w:iCs/>
        </w:rPr>
        <w:t xml:space="preserve">Rating. </w:t>
      </w:r>
      <w:r>
        <w:rPr>
          <w:b/>
          <w:bCs/>
        </w:rPr>
        <w:t xml:space="preserve">Partial</w:t>
      </w:r>
    </w:p>
    <w:p>
      <w:pPr>
        <w:spacing w:after="80" w:before="80" w:line="300"/>
      </w:pPr>
      <w:r>
        <w:rPr>
          <w:b/>
          <w:bCs/>
          <w:i/>
          <w:iCs/>
        </w:rPr>
        <w:t xml:space="preserve">Architectural gap. </w:t>
      </w:r>
      <w:r>
        <w:t xml:space="preserve">Persistence role separation exists conceptually but is realised locally in each use case. Enterprise rules for what must be persisted where, for how long, under what classification, and with what residency enforcement are not consolidated. The risk is that classification and control evidence are broken at the persistence boundary — a material issue for audit and regulatory defensibility.</w:t>
      </w:r>
    </w:p>
    <w:p>
      <w:pPr>
        <w:spacing w:after="80" w:before="80" w:line="300"/>
      </w:pPr>
      <w:r>
        <w:rPr>
          <w:b/>
          <w:bCs/>
          <w:i/>
          <w:iCs/>
        </w:rPr>
        <w:t xml:space="preserve">POC need. </w:t>
      </w:r>
      <w:r>
        <w:t xml:space="preserve">Validate a minimum role-based persistence model with classification propagation, retention policy enforcement, and residency-aware placement across at least one document and one transcript use case.</w:t>
      </w:r>
    </w:p>
    <w:p>
      <w:pPr>
        <w:pStyle w:val="Heading2"/>
        <w:spacing w:after="120" w:before="240"/>
      </w:pPr>
      <w:r>
        <w:t xml:space="preserve">7.10 Fabric / Data Product Access Layer</w:t>
      </w:r>
    </w:p>
    <w:p>
      <w:pPr>
        <w:spacing w:after="80" w:before="80" w:line="300"/>
      </w:pPr>
      <w:r>
        <w:rPr>
          <w:b/>
          <w:bCs/>
          <w:i/>
          <w:iCs/>
        </w:rPr>
        <w:t xml:space="preserve">Target capability. </w:t>
      </w:r>
      <w:r>
        <w:t xml:space="preserve">Extension of the existing enterprise Fabric access pattern to unstructured-derived products: curated unstructured products, knowledge graph products, and analytical outputs derived from unstructured processing. Includes federation and cross-cluster access, data product governance, and defined consumer obligations.</w:t>
      </w:r>
    </w:p>
    <w:p>
      <w:pPr>
        <w:spacing w:after="80" w:before="80" w:line="300"/>
      </w:pPr>
      <w:r>
        <w:rPr>
          <w:b/>
          <w:bCs/>
          <w:i/>
          <w:iCs/>
        </w:rPr>
        <w:t xml:space="preserve">Current-state evidence. </w:t>
      </w:r>
      <w:r>
        <w:t xml:space="preserve">Fabric is the established enterprise access pattern for structured data products, backed today by Starburst-based federation. No current use case publishes a curated unstructured or knowledge graph product through Fabric. Governance patterns for unstructured-derived data products (ownership, stewardship, contracts, SLAs, release and change control) are not defined.</w:t>
      </w:r>
    </w:p>
    <w:p>
      <w:pPr>
        <w:spacing w:after="80" w:before="80" w:line="300"/>
      </w:pPr>
      <w:r>
        <w:rPr>
          <w:b/>
          <w:bCs/>
          <w:i/>
          <w:iCs/>
        </w:rPr>
        <w:t xml:space="preserve">Rating. </w:t>
      </w:r>
      <w:r>
        <w:rPr>
          <w:b/>
          <w:bCs/>
        </w:rPr>
        <w:t xml:space="preserve">Absent</w:t>
      </w:r>
    </w:p>
    <w:p>
      <w:pPr>
        <w:spacing w:after="80" w:before="80" w:line="300"/>
      </w:pPr>
      <w:r>
        <w:rPr>
          <w:b/>
          <w:bCs/>
          <w:i/>
          <w:iCs/>
        </w:rPr>
        <w:t xml:space="preserve">Architectural gap. </w:t>
      </w:r>
      <w:r>
        <w:t xml:space="preserve">This is the most significant capability gap in the workstream. Extending Fabric to unstructured-derived outputs is a defining architectural commitment: without it, unstructured content remains a permanent enterprise exception to the data product standard, and discoverability, federated access, and governance consistency diverge permanently between structured and unstructured estates. The federation mechanism (currently Starburst) must additionally be positioned as an implementation detail behind the Fabric abstraction rather than as an architectural dependency.</w:t>
      </w:r>
    </w:p>
    <w:p>
      <w:pPr>
        <w:spacing w:after="80" w:before="80" w:line="300"/>
      </w:pPr>
      <w:r>
        <w:rPr>
          <w:b/>
          <w:bCs/>
          <w:i/>
          <w:iCs/>
        </w:rPr>
        <w:t xml:space="preserve">POC need. </w:t>
      </w:r>
      <w:r>
        <w:t xml:space="preserve">Validate publication of a curated unstructured product and a knowledge graph product through Fabric, with end-to-end data product governance (owner, steward, contract, SLA, consumer obligations, release and change control) and federation abstraction through the Fabric layer.</w:t>
      </w:r>
    </w:p>
    <w:p>
      <w:pPr>
        <w:pStyle w:val="Heading2"/>
        <w:spacing w:after="120" w:before="240"/>
      </w:pPr>
      <w:r>
        <w:t xml:space="preserve">7.11 Retrieval and Retrieval-Time Governance</w:t>
      </w:r>
    </w:p>
    <w:p>
      <w:pPr>
        <w:spacing w:after="80" w:before="80" w:line="300"/>
      </w:pPr>
      <w:r>
        <w:rPr>
          <w:b/>
          <w:bCs/>
          <w:i/>
          <w:iCs/>
        </w:rPr>
        <w:t xml:space="preserve">Target capability. </w:t>
      </w:r>
      <w:r>
        <w:t xml:space="preserve">Retrieval as a governed runtime capability: hybrid search (vector, BM25, graph traversal, reranking, fusion), entitlement-aware filtering, policy evaluation, provenance checks, and ranking controls applied at retrieval time. Coexists with Fabric-published access and addresses latency-sensitive interactive use cases.</w:t>
      </w:r>
    </w:p>
    <w:p>
      <w:pPr>
        <w:spacing w:after="80" w:before="80" w:line="300"/>
      </w:pPr>
      <w:r>
        <w:rPr>
          <w:b/>
          <w:bCs/>
          <w:i/>
          <w:iCs/>
        </w:rPr>
        <w:t xml:space="preserve">Current-state evidence. </w:t>
      </w:r>
      <w:r>
        <w:t xml:space="preserve">Retrieval is evidenced in Codifying the Bank (workflow-driven retrieval) and Knowledge Management (managed content retrieval with guardrails). Entitlement-aware and provenance-aware runtime access is partial; no consistent governance is evidenced at retrieval time across use cases. The dual-access model (Fabric for published products, direct retrieval for latency-sensitive use) is architecturally stated but not yet validated end-to-end.</w:t>
      </w:r>
    </w:p>
    <w:p>
      <w:pPr>
        <w:spacing w:after="80" w:before="80" w:line="300"/>
      </w:pPr>
      <w:r>
        <w:rPr>
          <w:b/>
          <w:bCs/>
          <w:i/>
          <w:iCs/>
        </w:rPr>
        <w:t xml:space="preserve">Rating. </w:t>
      </w:r>
      <w:r>
        <w:rPr>
          <w:b/>
          <w:bCs/>
        </w:rPr>
        <w:t xml:space="preserve">Partial</w:t>
      </w:r>
    </w:p>
    <w:p>
      <w:pPr>
        <w:spacing w:after="80" w:before="80" w:line="300"/>
      </w:pPr>
      <w:r>
        <w:rPr>
          <w:b/>
          <w:bCs/>
          <w:i/>
          <w:iCs/>
        </w:rPr>
        <w:t xml:space="preserve">Architectural gap. </w:t>
      </w:r>
      <w:r>
        <w:t xml:space="preserve">Retrieval-time governance is the runtime counterpart to publication-time governance and cannot be substituted by ingress-time controls. The current landscape treats retrieval as a technical search capability rather than as a governed enterprise control point. Without runtime entitlement, policy, and provenance evaluation, the architecture cannot demonstrate that AI-driven consumption respects the same controls that apply at publication time, creating a regulatory exposure distinct from publication governance.</w:t>
      </w:r>
    </w:p>
    <w:p>
      <w:pPr>
        <w:spacing w:after="80" w:before="80" w:line="300"/>
      </w:pPr>
      <w:r>
        <w:rPr>
          <w:b/>
          <w:bCs/>
          <w:i/>
          <w:iCs/>
        </w:rPr>
        <w:t xml:space="preserve">POC need. </w:t>
      </w:r>
      <w:r>
        <w:t xml:space="preserve">Validate a retrieval-time governance model across both direct retrieval and Fabric-published access, covering entitlement, policy, provenance, and ranking, with evidence of control parity across the two access paths.</w:t>
      </w:r>
    </w:p>
    <w:p>
      <w:pPr>
        <w:pStyle w:val="Heading1"/>
        <w:spacing w:after="160" w:before="360"/>
      </w:pPr>
      <w:r>
        <w:t xml:space="preserve">8. Cross-Cutting Control Gaps</w:t>
      </w:r>
    </w:p>
    <w:p>
      <w:pPr>
        <w:spacing w:after="80" w:before="80" w:line="300"/>
      </w:pPr>
      <w:r>
        <w:t xml:space="preserve">The cross-cutting control plane is not a sequential layer but a set of enterprise controls that apply across the full lifecycle. Three control areas require explicit attention as gaps in their own right, because they are either regulatory requirements or are underdeveloped relative to the target architecture.</w:t>
      </w:r>
    </w:p>
    <w:p>
      <w:pPr>
        <w:pStyle w:val="Heading2"/>
        <w:spacing w:after="120" w:before="240"/>
      </w:pPr>
      <w:r>
        <w:t xml:space="preserve">8.1 Residency, Sovereignty, and Restricted-Content Routing</w:t>
      </w:r>
    </w:p>
    <w:p>
      <w:pPr>
        <w:spacing w:after="80" w:before="80" w:line="300"/>
      </w:pPr>
      <w:r>
        <w:t xml:space="preserve">Residency and sovereignty enforcement at ingestion time and persistence time is not consistently evidenced. Restricted-content routing — including for audio, transcripts, email, and case records — is not defined at enterprise level. This is a Priority 1 concern for the regulated environment.</w:t>
      </w:r>
    </w:p>
    <w:p>
      <w:pPr>
        <w:spacing w:after="120" w:before="40"/>
      </w:pPr>
      <w:r>
        <w:rPr>
          <w:b/>
          <w:bCs/>
          <w:i/>
          <w:iCs/>
        </w:rPr>
        <w:t xml:space="preserve">Rating: </w:t>
      </w:r>
      <w:r>
        <w:rPr>
          <w:b/>
          <w:bCs/>
        </w:rPr>
        <w:t xml:space="preserve">Partial / Absent. </w:t>
      </w:r>
      <w:r>
        <w:rPr>
          <w:b/>
          <w:bCs/>
          <w:i/>
          <w:iCs/>
        </w:rPr>
        <w:t xml:space="preserve">POC need: </w:t>
      </w:r>
      <w:r>
        <w:t xml:space="preserve">validate residency-aware routing and approved restricted-content processing paths for at least one regional and one sensitive-content scenario.</w:t>
      </w:r>
    </w:p>
    <w:p>
      <w:pPr>
        <w:pStyle w:val="Heading2"/>
        <w:spacing w:after="120" w:before="240"/>
      </w:pPr>
      <w:r>
        <w:t xml:space="preserve">8.2 External Content Trust and Licensing</w:t>
      </w:r>
    </w:p>
    <w:p>
      <w:pPr>
        <w:spacing w:after="80" w:before="80" w:line="300"/>
      </w:pPr>
      <w:r>
        <w:t xml:space="preserve">External and third-party content requires explicit trust scoring, licensing validation, provenance assessment, and legal or moderation review before it can be treated as an authoritative source within enterprise AI workflows. No current enterprise pattern covers these controls; use cases today rely on upstream assumptions of trust.</w:t>
      </w:r>
    </w:p>
    <w:p>
      <w:pPr>
        <w:spacing w:after="120" w:before="40"/>
      </w:pPr>
      <w:r>
        <w:rPr>
          <w:b/>
          <w:bCs/>
          <w:i/>
          <w:iCs/>
        </w:rPr>
        <w:t xml:space="preserve">Rating: </w:t>
      </w:r>
      <w:r>
        <w:rPr>
          <w:b/>
          <w:bCs/>
        </w:rPr>
        <w:t xml:space="preserve">Absent. </w:t>
      </w:r>
      <w:r>
        <w:rPr>
          <w:b/>
          <w:bCs/>
          <w:i/>
          <w:iCs/>
        </w:rPr>
        <w:t xml:space="preserve">POC need: </w:t>
      </w:r>
      <w:r>
        <w:t xml:space="preserve">validate an external-content trust, licensing, and moderation control model for at least one external feed (e.g. regulatory or market data) used in an AI workflow.</w:t>
      </w:r>
    </w:p>
    <w:p>
      <w:pPr>
        <w:pStyle w:val="Heading2"/>
        <w:spacing w:after="120" w:before="240"/>
      </w:pPr>
      <w:r>
        <w:t xml:space="preserve">8.3 Human-in-the-Loop (HITL) Review Gate</w:t>
      </w:r>
    </w:p>
    <w:p>
      <w:pPr>
        <w:spacing w:after="80" w:before="80" w:line="300"/>
      </w:pPr>
      <w:r>
        <w:t xml:space="preserve">HITL review is mandatory for AI-generated authoritative content in a regulated environment. The pattern is evidenced in Codifying the Bank but is not standardised as an enterprise control surface usable across use cases.</w:t>
      </w:r>
    </w:p>
    <w:p>
      <w:pPr>
        <w:spacing w:after="120" w:before="40"/>
      </w:pPr>
      <w:r>
        <w:rPr>
          <w:b/>
          <w:bCs/>
          <w:i/>
          <w:iCs/>
        </w:rPr>
        <w:t xml:space="preserve">Rating: </w:t>
      </w:r>
      <w:r>
        <w:rPr>
          <w:b/>
          <w:bCs/>
        </w:rPr>
        <w:t xml:space="preserve">Partial. </w:t>
      </w:r>
      <w:r>
        <w:rPr>
          <w:b/>
          <w:bCs/>
          <w:i/>
          <w:iCs/>
        </w:rPr>
        <w:t xml:space="preserve">POC need: </w:t>
      </w:r>
      <w:r>
        <w:t xml:space="preserve">validate a reusable HITL control surface integrated with orchestration and AI Observability/FinOps, applied to at least one AI-generated content scenario outside Codifying the Bank.</w:t>
      </w:r>
    </w:p>
    <w:p>
      <w:pPr>
        <w:pStyle w:val="Heading1"/>
        <w:spacing w:after="160" w:before="360"/>
      </w:pPr>
      <w:r>
        <w:t xml:space="preserve">9. Capability-to-Use-Case Traceability</w:t>
      </w:r>
    </w:p>
    <w:p>
      <w:pPr>
        <w:spacing w:after="80" w:before="80" w:line="300"/>
      </w:pPr>
      <w:r>
        <w:t xml:space="preserve">The heatmap below summarises current-state maturity across the reference use cases. It is intended as a working-group discussion artefact and will be maintained as additional use cases are onboarded. Ratings in this table use a simplified maturity scale: Strong (evidenced and substantial), Partial (evidenced but narrow or inconsistent), None (not evidenced), n/a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56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Capability area</w:t>
            </w:r>
          </w:p>
        </w:tc>
        <w:tc>
          <w:tcPr>
            <w:tcW w:type="dxa" w:w="1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Codifying the Bank</w:t>
            </w:r>
          </w:p>
        </w:tc>
        <w:tc>
          <w:tcPr>
            <w:tcW w:type="dxa" w:w="1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Voice / Audio</w:t>
            </w:r>
          </w:p>
        </w:tc>
        <w:tc>
          <w:tcPr>
            <w:tcW w:type="dxa" w:w="1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Knowledge Mgmt</w:t>
            </w:r>
          </w:p>
        </w:tc>
        <w:tc>
          <w:tcPr>
            <w:tcW w:type="dxa" w:w="256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Overall rating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Source onboarding &amp; ingestion</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Fragmented / Partial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Preparation &amp; normalisation</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 / Fragmented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Metadata, lineage &amp; provenance</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 / Dependency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Sensitive data controls &amp; redaction</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Fragmented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Orchestration &amp; workflow execution</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Present (single UC) / Bespoke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Semantic services (chunk/embed/index)</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 / Fragmented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Knowledge enrichment &amp; graph build</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E8A0A0" w:color="auto" w:val="clear"/>
            <w:tcMar>
              <w:top w:type="dxa" w:w="60"/>
              <w:left w:type="dxa" w:w="100"/>
              <w:bottom w:type="dxa" w:w="60"/>
              <w:right w:type="dxa" w:w="100"/>
            </w:tcMar>
          </w:tcPr>
          <w:p>
            <w:pPr>
              <w:spacing w:after="20" w:before="20"/>
              <w:jc w:val="center"/>
            </w:pPr>
            <w:r>
              <w:rPr>
                <w:sz w:val="20"/>
                <w:szCs w:val="20"/>
              </w:rPr>
              <w:t xml:space="preserve">None</w:t>
            </w:r>
          </w:p>
        </w:tc>
        <w:tc>
          <w:tcPr>
            <w:tcW w:type="dxa" w:w="1400"/>
            <w:tcBorders>
              <w:top w:val="single" w:color="BFBFBF" w:sz="4"/>
              <w:left w:val="single" w:color="BFBFBF" w:sz="4"/>
              <w:bottom w:val="single" w:color="BFBFBF" w:sz="4"/>
              <w:right w:val="single" w:color="BFBFBF" w:sz="4"/>
            </w:tcBorders>
            <w:shd w:fill="E8A0A0" w:color="auto" w:val="clear"/>
            <w:tcMar>
              <w:top w:type="dxa" w:w="60"/>
              <w:left w:type="dxa" w:w="100"/>
              <w:bottom w:type="dxa" w:w="60"/>
              <w:right w:type="dxa" w:w="100"/>
            </w:tcMar>
          </w:tcPr>
          <w:p>
            <w:pPr>
              <w:spacing w:after="20" w:before="20"/>
              <w:jc w:val="center"/>
            </w:pPr>
            <w:r>
              <w:rPr>
                <w:sz w:val="20"/>
                <w:szCs w:val="20"/>
              </w:rPr>
              <w:t xml:space="preserve">None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 / Specialist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Governed AI integration</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 / Dependency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Persistence services</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Fabric publication of UD products</w:t>
            </w:r>
          </w:p>
        </w:tc>
        <w:tc>
          <w:tcPr>
            <w:tcW w:type="dxa" w:w="1400"/>
            <w:tcBorders>
              <w:top w:val="single" w:color="BFBFBF" w:sz="4"/>
              <w:left w:val="single" w:color="BFBFBF" w:sz="4"/>
              <w:bottom w:val="single" w:color="BFBFBF" w:sz="4"/>
              <w:right w:val="single" w:color="BFBFBF" w:sz="4"/>
            </w:tcBorders>
            <w:shd w:fill="E8A0A0" w:color="auto" w:val="clear"/>
            <w:tcMar>
              <w:top w:type="dxa" w:w="60"/>
              <w:left w:type="dxa" w:w="100"/>
              <w:bottom w:type="dxa" w:w="60"/>
              <w:right w:type="dxa" w:w="100"/>
            </w:tcMar>
          </w:tcPr>
          <w:p>
            <w:pPr>
              <w:spacing w:after="20" w:before="20"/>
              <w:jc w:val="center"/>
            </w:pPr>
            <w:r>
              <w:rPr>
                <w:sz w:val="20"/>
                <w:szCs w:val="20"/>
              </w:rPr>
              <w:t xml:space="preserve">None</w:t>
            </w:r>
          </w:p>
        </w:tc>
        <w:tc>
          <w:tcPr>
            <w:tcW w:type="dxa" w:w="1400"/>
            <w:tcBorders>
              <w:top w:val="single" w:color="BFBFBF" w:sz="4"/>
              <w:left w:val="single" w:color="BFBFBF" w:sz="4"/>
              <w:bottom w:val="single" w:color="BFBFBF" w:sz="4"/>
              <w:right w:val="single" w:color="BFBFBF" w:sz="4"/>
            </w:tcBorders>
            <w:shd w:fill="E8A0A0" w:color="auto" w:val="clear"/>
            <w:tcMar>
              <w:top w:type="dxa" w:w="60"/>
              <w:left w:type="dxa" w:w="100"/>
              <w:bottom w:type="dxa" w:w="60"/>
              <w:right w:type="dxa" w:w="100"/>
            </w:tcMar>
          </w:tcPr>
          <w:p>
            <w:pPr>
              <w:spacing w:after="20" w:before="20"/>
              <w:jc w:val="center"/>
            </w:pPr>
            <w:r>
              <w:rPr>
                <w:sz w:val="20"/>
                <w:szCs w:val="20"/>
              </w:rPr>
              <w:t xml:space="preserve">None</w:t>
            </w:r>
          </w:p>
        </w:tc>
        <w:tc>
          <w:tcPr>
            <w:tcW w:type="dxa" w:w="1400"/>
            <w:tcBorders>
              <w:top w:val="single" w:color="BFBFBF" w:sz="4"/>
              <w:left w:val="single" w:color="BFBFBF" w:sz="4"/>
              <w:bottom w:val="single" w:color="BFBFBF" w:sz="4"/>
              <w:right w:val="single" w:color="BFBFBF" w:sz="4"/>
            </w:tcBorders>
            <w:shd w:fill="E8A0A0" w:color="auto" w:val="clear"/>
            <w:tcMar>
              <w:top w:type="dxa" w:w="60"/>
              <w:left w:type="dxa" w:w="100"/>
              <w:bottom w:type="dxa" w:w="60"/>
              <w:right w:type="dxa" w:w="100"/>
            </w:tcMar>
          </w:tcPr>
          <w:p>
            <w:pPr>
              <w:spacing w:after="20" w:before="20"/>
              <w:jc w:val="center"/>
            </w:pPr>
            <w:r>
              <w:rPr>
                <w:sz w:val="20"/>
                <w:szCs w:val="20"/>
              </w:rPr>
              <w:t xml:space="preserve">None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Absent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Retrieval &amp; retrieval-time governance</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Residency &amp; restricted routing</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 / Absent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External content trust &amp; licensing</w:t>
            </w:r>
          </w:p>
        </w:tc>
        <w:tc>
          <w:tcPr>
            <w:tcW w:type="dxa" w:w="14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20" w:before="20"/>
              <w:jc w:val="center"/>
            </w:pPr>
            <w:r>
              <w:rPr>
                <w:sz w:val="20"/>
                <w:szCs w:val="20"/>
              </w:rPr>
              <w:t xml:space="preserve">n/a</w:t>
            </w:r>
          </w:p>
        </w:tc>
        <w:tc>
          <w:tcPr>
            <w:tcW w:type="dxa" w:w="14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20" w:before="20"/>
              <w:jc w:val="center"/>
            </w:pPr>
            <w:r>
              <w:rPr>
                <w:sz w:val="20"/>
                <w:szCs w:val="20"/>
              </w:rPr>
              <w:t xml:space="preserve">n/a</w:t>
            </w:r>
          </w:p>
        </w:tc>
        <w:tc>
          <w:tcPr>
            <w:tcW w:type="dxa" w:w="14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20" w:before="20"/>
              <w:jc w:val="center"/>
            </w:pPr>
            <w:r>
              <w:rPr>
                <w:sz w:val="20"/>
                <w:szCs w:val="20"/>
              </w:rPr>
              <w:t xml:space="preserve">n/a</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Absent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HITL control surface</w:t>
            </w:r>
          </w:p>
        </w:tc>
        <w:tc>
          <w:tcPr>
            <w:tcW w:type="dxa" w:w="1400"/>
            <w:tcBorders>
              <w:top w:val="single" w:color="BFBFBF" w:sz="4"/>
              <w:left w:val="single" w:color="BFBFBF" w:sz="4"/>
              <w:bottom w:val="single" w:color="BFBFBF" w:sz="4"/>
              <w:right w:val="single" w:color="BFBFBF" w:sz="4"/>
            </w:tcBorders>
            <w:shd w:fill="B7D7A8" w:color="auto" w:val="clear"/>
            <w:tcMar>
              <w:top w:type="dxa" w:w="60"/>
              <w:left w:type="dxa" w:w="100"/>
              <w:bottom w:type="dxa" w:w="60"/>
              <w:right w:type="dxa" w:w="100"/>
            </w:tcMar>
          </w:tcPr>
          <w:p>
            <w:pPr>
              <w:spacing w:after="20" w:before="20"/>
              <w:jc w:val="center"/>
            </w:pPr>
            <w:r>
              <w:rPr>
                <w:sz w:val="20"/>
                <w:szCs w:val="20"/>
              </w:rPr>
              <w:t xml:space="preserve">Strong</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1400"/>
            <w:tcBorders>
              <w:top w:val="single" w:color="BFBFBF" w:sz="4"/>
              <w:left w:val="single" w:color="BFBFBF" w:sz="4"/>
              <w:bottom w:val="single" w:color="BFBFBF" w:sz="4"/>
              <w:right w:val="single" w:color="BFBFBF" w:sz="4"/>
            </w:tcBorders>
            <w:shd w:fill="F9D06B" w:color="auto" w:val="clear"/>
            <w:tcMar>
              <w:top w:type="dxa" w:w="60"/>
              <w:left w:type="dxa" w:w="100"/>
              <w:bottom w:type="dxa" w:w="60"/>
              <w:right w:type="dxa" w:w="100"/>
            </w:tcMar>
          </w:tcPr>
          <w:p>
            <w:pPr>
              <w:spacing w:after="20" w:before="20"/>
              <w:jc w:val="center"/>
            </w:pPr>
            <w:r>
              <w:rPr>
                <w:sz w:val="20"/>
                <w:szCs w:val="20"/>
              </w:rPr>
              <w:t xml:space="preserve">Partial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b/>
                <w:bCs/>
                <w:sz w:val="20"/>
                <w:szCs w:val="20"/>
              </w:rPr>
              <w:t xml:space="preserve">Partial</w:t>
            </w:r>
          </w:p>
        </w:tc>
      </w:tr>
    </w:tbl>
    <w:p>
      <w:pPr>
        <w:spacing w:after="80" w:before="80" w:line="300"/>
      </w:pPr>
      <w:r>
        <w:t xml:space="preserve">This heatmap deliberately compresses findings to make patterns visible. A capability should not be rated Strong enterprise-wide merely because one use case demonstrates it strongly; the Overall rating column weights enterprise reusability, control consistency, and dependency exposure alongside presence.</w:t>
      </w:r>
    </w:p>
    <w:p>
      <w:pPr>
        <w:pStyle w:val="Heading1"/>
        <w:spacing w:after="160" w:before="360"/>
      </w:pPr>
      <w:r>
        <w:t xml:space="preserve">10. Priority POC Candidates</w:t>
      </w:r>
    </w:p>
    <w:p>
      <w:pPr>
        <w:spacing w:after="80" w:before="80" w:line="300"/>
      </w:pPr>
      <w:r>
        <w:t xml:space="preserve">Each POC below is derived directly from the capability gaps in Sections 7 and 8. Priority order reflects a combination of architectural centrality (extent to which the gap blocks the target model), control risk (regulatory and auditability exposure), and enabling effect (extent to which closing the gap unlocks other POCs).</w:t>
      </w:r>
    </w:p>
    <w:p>
      <w:pPr>
        <w:pStyle w:val="Heading2"/>
        <w:spacing w:after="120" w:before="240"/>
      </w:pPr>
      <w:r>
        <w:t xml:space="preserve">10.1 Priority 1 — Fabric publication of unstructured-derived products</w:t>
      </w:r>
    </w:p>
    <w:p>
      <w:pPr>
        <w:spacing w:after="80" w:before="80" w:line="300"/>
      </w:pPr>
      <w:r>
        <w:rPr>
          <w:b/>
          <w:bCs/>
          <w:i/>
          <w:iCs/>
        </w:rPr>
        <w:t xml:space="preserve">Hypothesis. </w:t>
      </w:r>
      <w:r>
        <w:t xml:space="preserve">Curated unstructured products and knowledge graph products can be published through Fabric with end-to-end governance equivalent to structured data products.</w:t>
      </w:r>
    </w:p>
    <w:p>
      <w:pPr>
        <w:spacing w:after="80" w:before="80" w:line="300"/>
      </w:pPr>
      <w:r>
        <w:rPr>
          <w:b/>
          <w:bCs/>
          <w:i/>
          <w:iCs/>
        </w:rPr>
        <w:t xml:space="preserve">Scope. </w:t>
      </w:r>
      <w:r>
        <w:t xml:space="preserve">One curated unstructured product and one KG-derived product, each with a defined owner, steward, contract, SLA, consumer obligations, and release and change control process.</w:t>
      </w:r>
    </w:p>
    <w:p>
      <w:pPr>
        <w:spacing w:after="80" w:before="80" w:line="300"/>
      </w:pPr>
      <w:r>
        <w:rPr>
          <w:b/>
          <w:bCs/>
          <w:i/>
          <w:iCs/>
        </w:rPr>
        <w:t xml:space="preserve">Success criteria. </w:t>
      </w:r>
      <w:r>
        <w:t xml:space="preserve">Both products are discoverable and consumable through Fabric; federation is abstracted behind the Fabric layer rather than exposed as an implementation dependency; governance evidence is verifiable end-to-end.</w:t>
      </w:r>
    </w:p>
    <w:p>
      <w:pPr>
        <w:spacing w:after="80" w:before="80" w:line="300"/>
      </w:pPr>
      <w:r>
        <w:rPr>
          <w:b/>
          <w:bCs/>
          <w:i/>
          <w:iCs/>
        </w:rPr>
        <w:t xml:space="preserve">Key dependencies. </w:t>
      </w:r>
      <w:r>
        <w:t xml:space="preserve">Fabric workstream; Metadata and Catalogue; Data Governance.</w:t>
      </w:r>
    </w:p>
    <w:p>
      <w:pPr>
        <w:pStyle w:val="Heading2"/>
        <w:spacing w:after="120" w:before="240"/>
      </w:pPr>
      <w:r>
        <w:t xml:space="preserve">10.2 Priority 2 — Shared preparation and normalisation with sensitive-data gate</w:t>
      </w:r>
    </w:p>
    <w:p>
      <w:pPr>
        <w:spacing w:after="80" w:before="80" w:line="300"/>
      </w:pPr>
      <w:r>
        <w:rPr>
          <w:b/>
          <w:bCs/>
          <w:i/>
          <w:iCs/>
        </w:rPr>
        <w:t xml:space="preserve">Hypothesis. </w:t>
      </w:r>
      <w:r>
        <w:t xml:space="preserve">A common preparation pattern can serve document, transcript, and communication content with an enforced redaction and classification gate before semantic processing.</w:t>
      </w:r>
    </w:p>
    <w:p>
      <w:pPr>
        <w:spacing w:after="80" w:before="80" w:line="300"/>
      </w:pPr>
      <w:r>
        <w:rPr>
          <w:b/>
          <w:bCs/>
          <w:i/>
          <w:iCs/>
        </w:rPr>
        <w:t xml:space="preserve">Scope. </w:t>
      </w:r>
      <w:r>
        <w:t xml:space="preserve">Document (policy), audio transcript (interaction), and email or chat (communication) content, processed through a shared preparation pattern with an enforced sensitive-data gate.</w:t>
      </w:r>
    </w:p>
    <w:p>
      <w:pPr>
        <w:spacing w:after="80" w:before="80" w:line="300"/>
      </w:pPr>
      <w:r>
        <w:rPr>
          <w:b/>
          <w:bCs/>
          <w:i/>
          <w:iCs/>
        </w:rPr>
        <w:t xml:space="preserve">Success criteria. </w:t>
      </w:r>
      <w:r>
        <w:t xml:space="preserve">Canonical content is produced across modalities; classification is propagated downstream; no sensitive content is evidenced in downstream embeddings, graph build, or persisted artefacts.</w:t>
      </w:r>
    </w:p>
    <w:p>
      <w:pPr>
        <w:spacing w:after="80" w:before="80" w:line="300"/>
      </w:pPr>
      <w:r>
        <w:rPr>
          <w:b/>
          <w:bCs/>
          <w:i/>
          <w:iCs/>
        </w:rPr>
        <w:t xml:space="preserve">Key dependencies. </w:t>
      </w:r>
      <w:r>
        <w:t xml:space="preserve">Group AI (DLP and content safety); Security; Metadata and Catalogue.</w:t>
      </w:r>
    </w:p>
    <w:p>
      <w:pPr>
        <w:pStyle w:val="Heading2"/>
        <w:spacing w:after="120" w:before="240"/>
      </w:pPr>
      <w:r>
        <w:t xml:space="preserve">10.3 Priority 3 — Policy-aware routing and restricted-content handling</w:t>
      </w:r>
    </w:p>
    <w:p>
      <w:pPr>
        <w:spacing w:after="80" w:before="80" w:line="300"/>
      </w:pPr>
      <w:r>
        <w:rPr>
          <w:b/>
          <w:bCs/>
          <w:i/>
          <w:iCs/>
        </w:rPr>
        <w:t xml:space="preserve">Hypothesis. </w:t>
      </w:r>
      <w:r>
        <w:t xml:space="preserve">Ingestion-time policy-aware routing can deterministically direct content to approved processing paths on the basis of sensitivity, trust, residency, and modality.</w:t>
      </w:r>
    </w:p>
    <w:p>
      <w:pPr>
        <w:spacing w:after="80" w:before="80" w:line="300"/>
      </w:pPr>
      <w:r>
        <w:rPr>
          <w:b/>
          <w:bCs/>
          <w:i/>
          <w:iCs/>
        </w:rPr>
        <w:t xml:space="preserve">Scope. </w:t>
      </w:r>
      <w:r>
        <w:t xml:space="preserve">Four source classes covering at least one restricted-content scenario and one residency scenario.</w:t>
      </w:r>
    </w:p>
    <w:p>
      <w:pPr>
        <w:spacing w:after="80" w:before="80" w:line="300"/>
      </w:pPr>
      <w:r>
        <w:rPr>
          <w:b/>
          <w:bCs/>
          <w:i/>
          <w:iCs/>
        </w:rPr>
        <w:t xml:space="preserve">Success criteria. </w:t>
      </w:r>
      <w:r>
        <w:t xml:space="preserve">Routing decisions are deterministic, auditable, and demonstrably enforce downstream control boundaries including residency and restricted-content processing.</w:t>
      </w:r>
    </w:p>
    <w:p>
      <w:pPr>
        <w:spacing w:after="80" w:before="80" w:line="300"/>
      </w:pPr>
      <w:r>
        <w:rPr>
          <w:b/>
          <w:bCs/>
          <w:i/>
          <w:iCs/>
        </w:rPr>
        <w:t xml:space="preserve">Key dependencies. </w:t>
      </w:r>
      <w:r>
        <w:t xml:space="preserve">Security; Data Governance; regional architecture function.</w:t>
      </w:r>
    </w:p>
    <w:p>
      <w:pPr>
        <w:pStyle w:val="Heading2"/>
        <w:spacing w:after="120" w:before="240"/>
      </w:pPr>
      <w:r>
        <w:t xml:space="preserve">10.4 Priority 4 — Shared semantic services (chunking, embeddings, indexing)</w:t>
      </w:r>
    </w:p>
    <w:p>
      <w:pPr>
        <w:spacing w:after="80" w:before="80" w:line="300"/>
      </w:pPr>
      <w:r>
        <w:rPr>
          <w:b/>
          <w:bCs/>
          <w:i/>
          <w:iCs/>
        </w:rPr>
        <w:t xml:space="preserve">Hypothesis. </w:t>
      </w:r>
      <w:r>
        <w:t xml:space="preserve">Chunking, embedding, and indexing can be delivered as reusable enterprise services with governed model selection and FinOps integration.</w:t>
      </w:r>
    </w:p>
    <w:p>
      <w:pPr>
        <w:spacing w:after="80" w:before="80" w:line="300"/>
      </w:pPr>
      <w:r>
        <w:rPr>
          <w:b/>
          <w:bCs/>
          <w:i/>
          <w:iCs/>
        </w:rPr>
        <w:t xml:space="preserve">Scope. </w:t>
      </w:r>
      <w:r>
        <w:t xml:space="preserve">A shared chunking framework, a governed embedding service, and an index lifecycle pattern applied across two use cases.</w:t>
      </w:r>
    </w:p>
    <w:p>
      <w:pPr>
        <w:spacing w:after="80" w:before="80" w:line="300"/>
      </w:pPr>
      <w:r>
        <w:rPr>
          <w:b/>
          <w:bCs/>
          <w:i/>
          <w:iCs/>
        </w:rPr>
        <w:t xml:space="preserve">Success criteria. </w:t>
      </w:r>
      <w:r>
        <w:t xml:space="preserve">Embeddings are demonstrably portable across use cases; model governance is evidenced; cost and usage are attributable by use case and by model; re-indexing is a managed lifecycle rather than a local exercise.</w:t>
      </w:r>
    </w:p>
    <w:p>
      <w:pPr>
        <w:spacing w:after="80" w:before="80" w:line="300"/>
      </w:pPr>
      <w:r>
        <w:rPr>
          <w:b/>
          <w:bCs/>
          <w:i/>
          <w:iCs/>
        </w:rPr>
        <w:t xml:space="preserve">Key dependencies. </w:t>
      </w:r>
      <w:r>
        <w:t xml:space="preserve">Group AI; FinOps; Security.</w:t>
      </w:r>
    </w:p>
    <w:p>
      <w:pPr>
        <w:pStyle w:val="Heading2"/>
        <w:spacing w:after="120" w:before="240"/>
      </w:pPr>
      <w:r>
        <w:t xml:space="preserve">10.5 Priority 5 — Graph productisation through Fabric</w:t>
      </w:r>
    </w:p>
    <w:p>
      <w:pPr>
        <w:spacing w:after="80" w:before="80" w:line="300"/>
      </w:pPr>
      <w:r>
        <w:rPr>
          <w:b/>
          <w:bCs/>
          <w:i/>
          <w:iCs/>
        </w:rPr>
        <w:t xml:space="preserve">Hypothesis. </w:t>
      </w:r>
      <w:r>
        <w:t xml:space="preserve">Graph build from unstructured content can produce a publishable enterprise KG product, accessed through curated graph interfaces or materialised projections exposed through Fabric.</w:t>
      </w:r>
    </w:p>
    <w:p>
      <w:pPr>
        <w:spacing w:after="80" w:before="80" w:line="300"/>
      </w:pPr>
      <w:r>
        <w:rPr>
          <w:b/>
          <w:bCs/>
          <w:i/>
          <w:iCs/>
        </w:rPr>
        <w:t xml:space="preserve">Scope. </w:t>
      </w:r>
      <w:r>
        <w:t xml:space="preserve">One KG build from unstructured content; two consumer profiles (graph query interface and materialised view).</w:t>
      </w:r>
    </w:p>
    <w:p>
      <w:pPr>
        <w:spacing w:after="80" w:before="80" w:line="300"/>
      </w:pPr>
      <w:r>
        <w:rPr>
          <w:b/>
          <w:bCs/>
          <w:i/>
          <w:iCs/>
        </w:rPr>
        <w:t xml:space="preserve">Success criteria. </w:t>
      </w:r>
      <w:r>
        <w:t xml:space="preserve">The KG product meets a defined data product contract; the graph-versus-vector decision framework is evidenced; consumers can access the product through Fabric with governance parity to structured products.</w:t>
      </w:r>
    </w:p>
    <w:p>
      <w:pPr>
        <w:spacing w:after="80" w:before="80" w:line="300"/>
      </w:pPr>
      <w:r>
        <w:rPr>
          <w:b/>
          <w:bCs/>
          <w:i/>
          <w:iCs/>
        </w:rPr>
        <w:t xml:space="preserve">Key dependencies. </w:t>
      </w:r>
      <w:r>
        <w:t xml:space="preserve">Knowledge / Graph workstream; Fabric; Data Governance.</w:t>
      </w:r>
    </w:p>
    <w:p>
      <w:pPr>
        <w:pStyle w:val="Heading2"/>
        <w:spacing w:after="120" w:before="240"/>
      </w:pPr>
      <w:r>
        <w:t xml:space="preserve">10.6 Priority 6 — Retrieval-time governance</w:t>
      </w:r>
    </w:p>
    <w:p>
      <w:pPr>
        <w:spacing w:after="80" w:before="80" w:line="300"/>
      </w:pPr>
      <w:r>
        <w:rPr>
          <w:b/>
          <w:bCs/>
          <w:i/>
          <w:iCs/>
        </w:rPr>
        <w:t xml:space="preserve">Hypothesis. </w:t>
      </w:r>
      <w:r>
        <w:t xml:space="preserve">Entitlement, policy, provenance, and ranking controls can be applied consistently at retrieval time across both direct retrieval and Fabric-published access paths.</w:t>
      </w:r>
    </w:p>
    <w:p>
      <w:pPr>
        <w:spacing w:after="80" w:before="80" w:line="300"/>
      </w:pPr>
      <w:r>
        <w:rPr>
          <w:b/>
          <w:bCs/>
          <w:i/>
          <w:iCs/>
        </w:rPr>
        <w:t xml:space="preserve">Scope. </w:t>
      </w:r>
      <w:r>
        <w:t xml:space="preserve">One direct-retrieval AI use case and one Fabric-published consumer of the same underlying content.</w:t>
      </w:r>
    </w:p>
    <w:p>
      <w:pPr>
        <w:spacing w:after="80" w:before="80" w:line="300"/>
      </w:pPr>
      <w:r>
        <w:rPr>
          <w:b/>
          <w:bCs/>
          <w:i/>
          <w:iCs/>
        </w:rPr>
        <w:t xml:space="preserve">Success criteria. </w:t>
      </w:r>
      <w:r>
        <w:t xml:space="preserve">Runtime access decisions are auditable; governance parity is evidenced across the two access paths; no ungoverned retrieval path exists.</w:t>
      </w:r>
    </w:p>
    <w:p>
      <w:pPr>
        <w:spacing w:after="80" w:before="80" w:line="300"/>
      </w:pPr>
      <w:r>
        <w:rPr>
          <w:b/>
          <w:bCs/>
          <w:i/>
          <w:iCs/>
        </w:rPr>
        <w:t xml:space="preserve">Key dependencies. </w:t>
      </w:r>
      <w:r>
        <w:t xml:space="preserve">Identity; Security; Fabric.</w:t>
      </w:r>
    </w:p>
    <w:p>
      <w:pPr>
        <w:pStyle w:val="Heading2"/>
        <w:spacing w:after="120" w:before="240"/>
      </w:pPr>
      <w:r>
        <w:t xml:space="preserve">10.7 Priority 7 — Enterprise metadata, lineage, and provenance publication</w:t>
      </w:r>
    </w:p>
    <w:p>
      <w:pPr>
        <w:spacing w:after="80" w:before="80" w:line="300"/>
      </w:pPr>
      <w:r>
        <w:rPr>
          <w:b/>
          <w:bCs/>
          <w:i/>
          <w:iCs/>
        </w:rPr>
        <w:t xml:space="preserve">Hypothesis. </w:t>
      </w:r>
      <w:r>
        <w:t xml:space="preserve">Local operational metadata can be published into the enterprise catalogue and aligned with Fabric without requiring bespoke integration per use case.</w:t>
      </w:r>
    </w:p>
    <w:p>
      <w:pPr>
        <w:spacing w:after="80" w:before="80" w:line="300"/>
      </w:pPr>
      <w:r>
        <w:rPr>
          <w:b/>
          <w:bCs/>
          <w:i/>
          <w:iCs/>
        </w:rPr>
        <w:t xml:space="preserve">Scope. </w:t>
      </w:r>
      <w:r>
        <w:t xml:space="preserve">One document-led use case and one transcript-led use case.</w:t>
      </w:r>
    </w:p>
    <w:p>
      <w:pPr>
        <w:spacing w:after="80" w:before="80" w:line="300"/>
      </w:pPr>
      <w:r>
        <w:rPr>
          <w:b/>
          <w:bCs/>
          <w:i/>
          <w:iCs/>
        </w:rPr>
        <w:t xml:space="preserve">Success criteria. </w:t>
      </w:r>
      <w:r>
        <w:t xml:space="preserve">End-to-end lineage from source through processing to published product is auditable in the enterprise catalogue; publication does not introduce use-case-specific integration work.</w:t>
      </w:r>
    </w:p>
    <w:p>
      <w:pPr>
        <w:spacing w:after="80" w:before="80" w:line="300"/>
      </w:pPr>
      <w:r>
        <w:rPr>
          <w:b/>
          <w:bCs/>
          <w:i/>
          <w:iCs/>
        </w:rPr>
        <w:t xml:space="preserve">Key dependencies. </w:t>
      </w:r>
      <w:r>
        <w:t xml:space="preserve">Metadata and Catalogue workstream; Fabric.</w:t>
      </w:r>
    </w:p>
    <w:p>
      <w:pPr>
        <w:spacing w:after="80" w:before="80" w:line="300"/>
      </w:pPr>
      <w:r>
        <w:t xml:space="preserve">POCs 1–3 are recommended for earliest execution because they address the most architecturally central and control-sensitive gaps. POCs 4–7 are sequenced to build on their outputs and close remaining shared-service questions.</w:t>
      </w:r>
    </w:p>
    <w:p>
      <w:pPr>
        <w:pStyle w:val="Heading1"/>
        <w:spacing w:after="160" w:before="360"/>
      </w:pPr>
      <w:r>
        <w:t xml:space="preserve">11. Dependencies and Stakeholder Alignment</w:t>
      </w:r>
    </w:p>
    <w:p>
      <w:pPr>
        <w:spacing w:after="80" w:before="80" w:line="300"/>
      </w:pPr>
      <w:r>
        <w:t xml:space="preserve">Closing the gaps identified in this assessment is not achievable by the workstream in isolation. The following dependencies must be actively managed and will influence POC scoping, sequencing, and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Dependency</w:t>
            </w:r>
          </w:p>
        </w:tc>
        <w:tc>
          <w:tcPr>
            <w:tcW w:type="dxa" w:w="348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Reason for dependency</w:t>
            </w:r>
          </w:p>
        </w:tc>
        <w:tc>
          <w:tcPr>
            <w:tcW w:type="dxa" w:w="348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pPr>
              <w:spacing w:after="40" w:before="40"/>
            </w:pPr>
            <w:r>
              <w:rPr>
                <w:b/>
                <w:bCs/>
                <w:color w:val="FFFFFF"/>
                <w:sz w:val="20"/>
                <w:szCs w:val="20"/>
              </w:rPr>
              <w:t xml:space="preserve">Required alignment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Fabric workstream</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All Fabric publication POCs and the dual-access model depend on its target pattern.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Joint scoping of Fabric extension to unstructured-derived products; confirmation of federation roadmap beyond current Starburst implementation.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Group AI</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Shared AI platform, MCP enterprise scope, DLP and guardrails, FinOps telemetry.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Alignment on MCP scope and operating model; FinOps and observability interfaces; guardrails integration patterns.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Metadata and Catalogue workstream</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Lineage and metadata publication standards.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Confirmation of publication interfaces and taxonomy alignment for unstructured-derived lineage.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Knowledge / Graph workstream</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Ontology, graph strategy, and KG product definition.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Alignment on KG product interface options, ontology alignment, and governance.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Data Governance and Security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Classification, residency, restricted-content routing, retrieval-time entitlement.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Confirmation of enterprise policy frameworks applicable to unstructured content across ingestion and retrieval.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Use-case delivery teams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POC entry candidates, evidence access, co-delivery capacity.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60"/>
            </w:pPr>
            <w:r>
              <w:rPr>
                <w:sz w:val="20"/>
                <w:szCs w:val="20"/>
              </w:rPr>
              <w:t xml:space="preserve">Agreement on POC scope, evidence commitments, and resource availability.</w:t>
            </w:r>
          </w:p>
        </w:tc>
      </w:tr>
    </w:tbl>
    <w:p>
      <w:pPr>
        <w:pStyle w:val="Heading1"/>
        <w:spacing w:after="160" w:before="360"/>
      </w:pPr>
      <w:r>
        <w:t xml:space="preserve">12. Risks if Gaps Are Not Closed</w:t>
      </w:r>
    </w:p>
    <w:p>
      <w:pPr>
        <w:spacing w:after="80" w:before="80" w:line="300"/>
      </w:pPr>
      <w:r>
        <w:t xml:space="preserve">The following risks are stated in architecture terms for senior-audience use. They are structural architecture risks that arise from leaving the current state unchanged.</w:t>
      </w:r>
    </w:p>
    <w:p>
      <w:pPr>
        <w:pStyle w:val="ListParagraph"/>
        <w:numPr>
          <w:ilvl w:val="0"/>
          <w:numId w:val="2"/>
        </w:numPr>
        <w:spacing w:after="40" w:before="40" w:line="300"/>
      </w:pPr>
      <w:r>
        <w:t xml:space="preserve">Control divergence between structured and unstructured estates. Without Fabric extension, unstructured content remains a permanent exception to the enterprise data product standard, with weaker discoverability, governance, and regulatory evidence than the structured estate.</w:t>
      </w:r>
    </w:p>
    <w:p>
      <w:pPr>
        <w:pStyle w:val="ListParagraph"/>
        <w:numPr>
          <w:ilvl w:val="0"/>
          <w:numId w:val="2"/>
        </w:numPr>
        <w:spacing w:after="40" w:before="40" w:line="300"/>
      </w:pPr>
      <w:r>
        <w:t xml:space="preserve">Non-reusable investment. Continued fragmented delivery will produce duplicated preparation, embedding, and graph capabilities per use case, with rising total cost of ownership and brittle control surfaces.</w:t>
      </w:r>
    </w:p>
    <w:p>
      <w:pPr>
        <w:pStyle w:val="ListParagraph"/>
        <w:numPr>
          <w:ilvl w:val="0"/>
          <w:numId w:val="2"/>
        </w:numPr>
        <w:spacing w:after="40" w:before="40" w:line="300"/>
      </w:pPr>
      <w:r>
        <w:t xml:space="preserve">Sensitive-data leakage via embeddings and graphs. Inconsistent application of redaction before semantic processing risks the persistence of sensitive content inside vector and graph stores that are then used for downstream AI consumption.</w:t>
      </w:r>
    </w:p>
    <w:p>
      <w:pPr>
        <w:pStyle w:val="ListParagraph"/>
        <w:numPr>
          <w:ilvl w:val="0"/>
          <w:numId w:val="2"/>
        </w:numPr>
        <w:spacing w:after="40" w:before="40" w:line="300"/>
      </w:pPr>
      <w:r>
        <w:t xml:space="preserve">Retrieval-time control gap. Without runtime entitlement, policy, and provenance, AI consumption cannot be demonstrably aligned with enterprise access policy, creating a regulatory exposure distinct from publication-time controls.</w:t>
      </w:r>
    </w:p>
    <w:p>
      <w:pPr>
        <w:pStyle w:val="ListParagraph"/>
        <w:numPr>
          <w:ilvl w:val="0"/>
          <w:numId w:val="2"/>
        </w:numPr>
        <w:spacing w:after="40" w:before="40" w:line="300"/>
      </w:pPr>
      <w:r>
        <w:t xml:space="preserve">Regulatory defensibility weakness. Without published metadata, lineage, and HITL evidence, the architecture cannot demonstrate end-to-end auditability for AI-generated content in a regulated environment.</w:t>
      </w:r>
    </w:p>
    <w:p>
      <w:pPr>
        <w:pStyle w:val="ListParagraph"/>
        <w:numPr>
          <w:ilvl w:val="0"/>
          <w:numId w:val="2"/>
        </w:numPr>
        <w:spacing w:after="40" w:before="40" w:line="300"/>
      </w:pPr>
      <w:r>
        <w:t xml:space="preserve">Over-dependence on specialist patterns. Without enterprise criteria for stateful agents, graph, and MCP, new use cases will repeatedly reinvent specialist patterns rather than converging on shared services.</w:t>
      </w:r>
    </w:p>
    <w:p>
      <w:pPr>
        <w:pStyle w:val="Heading1"/>
        <w:spacing w:after="160" w:before="360"/>
      </w:pPr>
      <w:r>
        <w:t xml:space="preserve">13. Summary Assessment</w:t>
      </w:r>
    </w:p>
    <w:p>
      <w:pPr>
        <w:spacing w:after="80" w:before="80" w:line="300"/>
      </w:pPr>
      <w:r>
        <w:t xml:space="preserve">The enterprise reference architecture provides a coherent target capability model for unstructured data for AI. The current use case landscape demonstrates that the major capability areas are achievable in principle — but achievability in one use case is not the same as enterprise reusability.</w:t>
      </w:r>
    </w:p>
    <w:p>
      <w:pPr>
        <w:spacing w:after="80" w:before="80" w:line="300"/>
      </w:pPr>
      <w:r>
        <w:t xml:space="preserve">The dominant finding of this assessment is not the absence of capability, but the absence of shared capability. Most capability areas are rated Partial or Fragmented; two critical areas (Fabric publication of unstructured-derived products, and external content trust) are rated Absent; several areas carry material Dependencies on adjacent workstreams, notably Fabric, Metadata and Catalogue, Group AI, and Knowledge / Graph.</w:t>
      </w:r>
    </w:p>
    <w:p>
      <w:pPr>
        <w:spacing w:after="80" w:before="80" w:line="300"/>
      </w:pPr>
      <w:r>
        <w:t xml:space="preserve">The most architecturally significant gaps are Fabric publication of unstructured-derived products, a shared preparation and sensitive-data control layer, policy-aware routing, retrieval-time governance, and the enterprise operating model for MCP, AI Observability and FinOps, and HITL. These are the gaps that, if left unaddressed, will cause the workstream to remain a set of use-case-specific successes rather than an enterprise capability.</w:t>
      </w:r>
    </w:p>
    <w:p>
      <w:pPr>
        <w:spacing w:after="80" w:before="80" w:line="300"/>
      </w:pPr>
      <w:r>
        <w:t xml:space="preserve">The recommended POC slate is designed to validate these gaps directly, in an order that respects dependency sequencing and regulatory priority.</w:t>
      </w:r>
    </w:p>
    <w:p>
      <w:pPr>
        <w:pStyle w:val="Heading1"/>
        <w:spacing w:after="160" w:before="360"/>
      </w:pPr>
      <w:r>
        <w:t xml:space="preserve">14. Recommended Next Steps</w:t>
      </w:r>
    </w:p>
    <w:p>
      <w:pPr>
        <w:pStyle w:val="ListParagraph"/>
        <w:numPr>
          <w:ilvl w:val="0"/>
          <w:numId w:val="2"/>
        </w:numPr>
        <w:spacing w:after="40" w:before="40" w:line="300"/>
      </w:pPr>
      <w:r>
        <w:t xml:space="preserve">Socialise this assessment in the AI for Tech working group and confirm the priority POC slate with the chief architect and working-group members.</w:t>
      </w:r>
    </w:p>
    <w:p>
      <w:pPr>
        <w:pStyle w:val="ListParagraph"/>
        <w:numPr>
          <w:ilvl w:val="0"/>
          <w:numId w:val="2"/>
        </w:numPr>
        <w:spacing w:after="40" w:before="40" w:line="300"/>
      </w:pPr>
      <w:r>
        <w:t xml:space="preserve">Establish use-case entry candidates for each priority POC, drawing from in-flight and near-term delivery roadmaps.</w:t>
      </w:r>
    </w:p>
    <w:p>
      <w:pPr>
        <w:pStyle w:val="ListParagraph"/>
        <w:numPr>
          <w:ilvl w:val="0"/>
          <w:numId w:val="2"/>
        </w:numPr>
        <w:spacing w:after="40" w:before="40" w:line="300"/>
      </w:pPr>
      <w:r>
        <w:t xml:space="preserve">Adopt the capability-to-use-case traceability view (Section 9) as a sustained working artefact, updated as new use cases are onboarded.</w:t>
      </w:r>
    </w:p>
    <w:p>
      <w:pPr>
        <w:pStyle w:val="ListParagraph"/>
        <w:numPr>
          <w:ilvl w:val="0"/>
          <w:numId w:val="2"/>
        </w:numPr>
        <w:spacing w:after="40" w:before="40" w:line="300"/>
      </w:pPr>
      <w:r>
        <w:t xml:space="preserve">Initiate joint scoping with Fabric, Group AI, Metadata and Catalogue, Knowledge / Graph, and Data Governance on their respective dependencies.</w:t>
      </w:r>
    </w:p>
    <w:p>
      <w:pPr>
        <w:pStyle w:val="ListParagraph"/>
        <w:numPr>
          <w:ilvl w:val="0"/>
          <w:numId w:val="2"/>
        </w:numPr>
        <w:spacing w:after="40" w:before="40" w:line="300"/>
      </w:pPr>
      <w:r>
        <w:t xml:space="preserve">Define POC delivery cadence, owners, success criteria, and exit criteria with the workstream sponsor.</w:t>
      </w:r>
    </w:p>
    <w:p>
      <w:pPr>
        <w:pStyle w:val="ListParagraph"/>
        <w:numPr>
          <w:ilvl w:val="0"/>
          <w:numId w:val="2"/>
        </w:numPr>
        <w:spacing w:after="40" w:before="40" w:line="300"/>
      </w:pPr>
      <w:r>
        <w:t xml:space="preserve">Use the outputs of POCs 1–3 to refine the shared-service roadmap for the workstream and to inform the A2 detailed architect view and any modality-specific swimlane views.</w:t>
      </w:r>
    </w:p>
    <w:p>
      <w:pPr>
        <w:pStyle w:val="Heading1"/>
        <w:spacing w:after="160" w:before="360"/>
      </w:pPr>
      <w:r>
        <w:t xml:space="preserve">Appendix A — Assumptions and Decisions</w:t>
      </w:r>
    </w:p>
    <w:p>
      <w:pPr>
        <w:pStyle w:val="Heading2"/>
        <w:spacing w:after="120" w:before="240"/>
      </w:pPr>
      <w:r>
        <w:t xml:space="preserve">A.1 Assumptions</w:t>
      </w:r>
    </w:p>
    <w:p>
      <w:pPr>
        <w:spacing w:after="40" w:before="40" w:line="300"/>
      </w:pPr>
      <w:r>
        <w:rPr>
          <w:b/>
          <w:bCs/>
        </w:rPr>
        <w:t xml:space="preserve">A1. </w:t>
      </w:r>
      <w:r>
        <w:t xml:space="preserve">The A1 enterprise reference architecture is the agreed target capability model for this assessment.</w:t>
      </w:r>
    </w:p>
    <w:p>
      <w:pPr>
        <w:spacing w:after="40" w:before="40" w:line="300"/>
      </w:pPr>
      <w:r>
        <w:rPr>
          <w:b/>
          <w:bCs/>
        </w:rPr>
        <w:t xml:space="preserve">A2. </w:t>
      </w:r>
      <w:r>
        <w:t xml:space="preserve">The three reference use cases are representative for current-state assessment purposes but are not exhaustive.</w:t>
      </w:r>
    </w:p>
    <w:p>
      <w:pPr>
        <w:spacing w:after="40" w:before="40" w:line="300"/>
      </w:pPr>
      <w:r>
        <w:rPr>
          <w:b/>
          <w:bCs/>
        </w:rPr>
        <w:t xml:space="preserve">A3. </w:t>
      </w:r>
      <w:r>
        <w:t xml:space="preserve">Dependencies on Fabric, Group AI, Metadata and Catalogue, Knowledge / Graph, and Data Governance workstreams will be managed actively rather than absorbed into this workstream.</w:t>
      </w:r>
    </w:p>
    <w:p>
      <w:pPr>
        <w:spacing w:after="40" w:before="40" w:line="300"/>
      </w:pPr>
      <w:r>
        <w:rPr>
          <w:b/>
          <w:bCs/>
        </w:rPr>
        <w:t xml:space="preserve">A4. </w:t>
      </w:r>
      <w:r>
        <w:t xml:space="preserve">The workstream will deliver POCs as validation instruments, not as production implementations.</w:t>
      </w:r>
    </w:p>
    <w:p>
      <w:pPr>
        <w:spacing w:after="40" w:before="40" w:line="300"/>
      </w:pPr>
      <w:r>
        <w:rPr>
          <w:b/>
          <w:bCs/>
        </w:rPr>
        <w:t xml:space="preserve">A5. </w:t>
      </w:r>
      <w:r>
        <w:t xml:space="preserve">HITL, AI Observability, and FinOps are enterprise control requirements for AI-generated content in a regulated environment and are therefore in scope.</w:t>
      </w:r>
    </w:p>
    <w:p>
      <w:pPr>
        <w:spacing w:after="40" w:before="40" w:line="300"/>
      </w:pPr>
      <w:r>
        <w:rPr>
          <w:b/>
          <w:bCs/>
        </w:rPr>
        <w:t xml:space="preserve">A6. </w:t>
      </w:r>
      <w:r>
        <w:t xml:space="preserve">Starburst is the current federation implementation behind Fabric and is not a permanent architectural dependency.</w:t>
      </w:r>
    </w:p>
    <w:p>
      <w:pPr>
        <w:pStyle w:val="Heading2"/>
        <w:spacing w:after="120" w:before="240"/>
      </w:pPr>
      <w:r>
        <w:t xml:space="preserve">A.2 Decisions</w:t>
      </w:r>
    </w:p>
    <w:p>
      <w:pPr>
        <w:spacing w:after="40" w:before="40" w:line="300"/>
      </w:pPr>
      <w:r>
        <w:rPr>
          <w:b/>
          <w:bCs/>
        </w:rPr>
        <w:t xml:space="preserve">D1. </w:t>
      </w:r>
      <w:r>
        <w:t xml:space="preserve">The assessment is structured around the nine A1 layers plus cross-cutting controls, not around use cases.</w:t>
      </w:r>
    </w:p>
    <w:p>
      <w:pPr>
        <w:spacing w:after="40" w:before="40" w:line="300"/>
      </w:pPr>
      <w:r>
        <w:rPr>
          <w:b/>
          <w:bCs/>
        </w:rPr>
        <w:t xml:space="preserve">D2. </w:t>
      </w:r>
      <w:r>
        <w:t xml:space="preserve">The assessment is evidence-based: no capability is rated without explicit reference to current-state landscape evidence.</w:t>
      </w:r>
    </w:p>
    <w:p>
      <w:pPr>
        <w:spacing w:after="40" w:before="40" w:line="300"/>
      </w:pPr>
      <w:r>
        <w:rPr>
          <w:b/>
          <w:bCs/>
        </w:rPr>
        <w:t xml:space="preserve">D3. </w:t>
      </w:r>
      <w:r>
        <w:t xml:space="preserve">Cross-cutting controls are treated as capability gaps in their own right (Section 8), not only as integration points.</w:t>
      </w:r>
    </w:p>
    <w:p>
      <w:pPr>
        <w:spacing w:after="40" w:before="40" w:line="300"/>
      </w:pPr>
      <w:r>
        <w:rPr>
          <w:b/>
          <w:bCs/>
        </w:rPr>
        <w:t xml:space="preserve">D4. </w:t>
      </w:r>
      <w:r>
        <w:t xml:space="preserve">POCs are prioritised on architectural centrality, control risk, and enabling effect — not on delivery convenience.</w:t>
      </w:r>
    </w:p>
    <w:p>
      <w:pPr>
        <w:spacing w:after="40" w:before="40" w:line="300"/>
      </w:pPr>
      <w:r>
        <w:rPr>
          <w:b/>
          <w:bCs/>
        </w:rPr>
        <w:t xml:space="preserve">D5. </w:t>
      </w:r>
      <w:r>
        <w:t xml:space="preserve">The capability-to-use-case traceability heatmap (Section 9) is provided as a sustained working artefact for ongoing maintenance by the workstream.</w:t>
      </w:r>
    </w:p>
    <w:p>
      <w:pPr>
        <w:spacing w:after="40" w:before="40" w:line="300"/>
      </w:pPr>
      <w:r>
        <w:rPr>
          <w:b/>
          <w:bCs/>
        </w:rPr>
        <w:t xml:space="preserve">D6. </w:t>
      </w:r>
      <w:r>
        <w:t xml:space="preserve">Dependencies are declared explicitly (Section 11) to ensure that gap closure is not treated as a workstream-local activity.</w:t>
      </w:r>
    </w:p>
    <w:p>
      <w:pPr>
        <w:pStyle w:val="Heading1"/>
        <w:spacing w:after="160" w:before="360"/>
      </w:pPr>
      <w:r>
        <w:t xml:space="preserve">Appendix B — Open Questions</w:t>
      </w:r>
    </w:p>
    <w:p>
      <w:pPr>
        <w:spacing w:after="80" w:before="80" w:line="300"/>
      </w:pPr>
      <w:r>
        <w:t xml:space="preserve">The following structural open questions require resolution before POCs 1–3 can be executed at scale. They are active architecture items, not deferred issues.</w:t>
      </w:r>
    </w:p>
    <w:p>
      <w:pPr>
        <w:pStyle w:val="ListParagraph"/>
        <w:numPr>
          <w:ilvl w:val="0"/>
          <w:numId w:val="2"/>
        </w:numPr>
        <w:spacing w:after="40" w:before="40" w:line="300"/>
      </w:pPr>
      <w:r>
        <w:t xml:space="preserve">Fabric publication scope: which classes of unstructured-derived and KG products are in scope for Fabric publication, and what are the inclusion criteria?</w:t>
      </w:r>
    </w:p>
    <w:p>
      <w:pPr>
        <w:pStyle w:val="ListParagraph"/>
        <w:numPr>
          <w:ilvl w:val="0"/>
          <w:numId w:val="2"/>
        </w:numPr>
        <w:spacing w:after="40" w:before="40" w:line="300"/>
      </w:pPr>
      <w:r>
        <w:t xml:space="preserve">KG product interface model: curated graph-backed APIs, entity and relationship views, materialised projections, or a combination — what determines the choice?</w:t>
      </w:r>
    </w:p>
    <w:p>
      <w:pPr>
        <w:pStyle w:val="ListParagraph"/>
        <w:numPr>
          <w:ilvl w:val="0"/>
          <w:numId w:val="2"/>
        </w:numPr>
        <w:spacing w:after="40" w:before="40" w:line="300"/>
      </w:pPr>
      <w:r>
        <w:t xml:space="preserve">MCP enterprise scope: which use cases require MCP-based governed tool interaction, and where do simpler patterns remain sufficient?</w:t>
      </w:r>
    </w:p>
    <w:p>
      <w:pPr>
        <w:pStyle w:val="ListParagraph"/>
        <w:numPr>
          <w:ilvl w:val="0"/>
          <w:numId w:val="2"/>
        </w:numPr>
        <w:spacing w:after="40" w:before="40" w:line="300"/>
      </w:pPr>
      <w:r>
        <w:t xml:space="preserve">Stateful agents versus deterministic workflow: what criteria trigger stateful agent execution, and what is the minimum HITL control surface?</w:t>
      </w:r>
    </w:p>
    <w:p>
      <w:pPr>
        <w:pStyle w:val="ListParagraph"/>
        <w:numPr>
          <w:ilvl w:val="0"/>
          <w:numId w:val="2"/>
        </w:numPr>
        <w:spacing w:after="40" w:before="40" w:line="300"/>
      </w:pPr>
      <w:r>
        <w:t xml:space="preserve">Restricted-content processing: what are the approved processing paths for highly restricted content, and how are they enforced at runtime?</w:t>
      </w:r>
    </w:p>
    <w:p>
      <w:pPr>
        <w:pStyle w:val="ListParagraph"/>
        <w:numPr>
          <w:ilvl w:val="0"/>
          <w:numId w:val="2"/>
        </w:numPr>
        <w:spacing w:after="40" w:before="40" w:line="300"/>
      </w:pPr>
      <w:r>
        <w:t xml:space="preserve">Retrieval-time governance model: what is the enterprise standard for entitlement, policy, provenance, and ranking at retrieval time?</w:t>
      </w:r>
    </w:p>
    <w:p>
      <w:pPr>
        <w:pStyle w:val="ListParagraph"/>
        <w:numPr>
          <w:ilvl w:val="0"/>
          <w:numId w:val="2"/>
        </w:numPr>
        <w:spacing w:after="40" w:before="40" w:line="300"/>
      </w:pPr>
      <w:r>
        <w:t xml:space="preserve">External content trust: what standards apply for trust scoring, licensing, provenance, and moderation before external content can be used in enterprise AI workflows?</w:t>
      </w:r>
    </w:p>
    <w:p>
      <w:pPr>
        <w:pStyle w:val="ListParagraph"/>
        <w:numPr>
          <w:ilvl w:val="0"/>
          <w:numId w:val="2"/>
        </w:numPr>
        <w:spacing w:after="40" w:before="40" w:line="300"/>
      </w:pPr>
      <w:r>
        <w:t xml:space="preserve">Federation strategy: should Starburst-backed federation be formalised as the long-term pattern, or remain a pluggable implementation detail behind the Fabric abstraction?</w:t>
      </w:r>
    </w:p>
    <w:p>
      <w:pPr>
        <w:pStyle w:val="ListParagraph"/>
        <w:numPr>
          <w:ilvl w:val="0"/>
          <w:numId w:val="2"/>
        </w:numPr>
        <w:spacing w:after="40" w:before="40" w:line="300"/>
      </w:pPr>
      <w:r>
        <w:t xml:space="preserve">Metadata alignment timeline: by when must local operational metadata be aligned with the enterprise catalogue and Fabric, and who is accountable?</w:t>
      </w:r>
    </w:p>
    <w:p>
      <w:pPr>
        <w:pStyle w:val="ListParagraph"/>
        <w:numPr>
          <w:ilvl w:val="0"/>
          <w:numId w:val="2"/>
        </w:numPr>
        <w:spacing w:after="40" w:before="40" w:line="300"/>
      </w:pPr>
      <w:r>
        <w:t xml:space="preserve">Shared service boundaries: which capabilities should become shared enterprise services, which should remain use-case-local, and who decides?</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left" w:pos="0"/>
        <w:tab w:val="right" w:pos="9360"/>
      </w:tabs>
      <w:jc w:val="right"/>
    </w:pPr>
    <w:r>
      <w:rPr>
        <w:color w:val="7F7F7F"/>
        <w:sz w:val="18"/>
        <w:szCs w:val="18"/>
      </w:rPr>
      <w:t xml:space="preserve">Draft for architecture review</w:t>
    </w:r>
    <w:r>
      <w:rPr>
        <w:sz w:val="18"/>
        <w:szCs w:val="18"/>
      </w:rPr>
      <w:t xml:space="preserve">	</w:t>
    </w: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AI for Tech — Unstructured Data Workstream  |  Core Capability POC Gap Assessment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Capability POC Gap Assessment — Unstructured Data for AI</dc:title>
  <dc:creator>AI for Tech — Unstructured Data workstream</dc:creator>
  <dc:description>Enterprise architecture assessment aligned to the A1 reference architecture for unstructured data</dc:description>
  <cp:lastModifiedBy>Un-named</cp:lastModifiedBy>
  <cp:revision>1</cp:revision>
  <dcterms:created xsi:type="dcterms:W3CDTF">2026-04-23T23:33:08.281Z</dcterms:created>
  <dcterms:modified xsi:type="dcterms:W3CDTF">2026-04-23T23:33:08.282Z</dcterms:modified>
</cp:coreProperties>
</file>

<file path=docProps/custom.xml><?xml version="1.0" encoding="utf-8"?>
<Properties xmlns="http://schemas.openxmlformats.org/officeDocument/2006/custom-properties" xmlns:vt="http://schemas.openxmlformats.org/officeDocument/2006/docPropsVTypes"/>
</file>