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VectorDBaaS Build Roadmap</w:t>
      </w:r>
    </w:p>
    <w:p>
      <w:pPr>
        <w:jc w:val="center"/>
      </w:pPr>
      <w:r>
        <w:rPr>
          <w:b/>
          <w:color w:val="4472C4"/>
          <w:sz w:val="26"/>
        </w:rPr>
        <w:t>Practical Delivery View — v3</w:t>
      </w:r>
    </w:p>
    <w:p>
      <w:pPr>
        <w:jc w:val="center"/>
      </w:pPr>
      <w:r>
        <w:rPr>
          <w:i/>
          <w:sz w:val="20"/>
        </w:rPr>
        <w:t>Confluence companion page to the VectorDBaaS v2.1 reference design</w:t>
      </w:r>
    </w:p>
    <w:tbl>
      <w:tblPr>
        <w:tblStyle w:val="TableGrid"/>
        <w:tblW w:type="auto" w:w="0"/>
        <w:tblLook w:firstColumn="1" w:firstRow="1" w:lastColumn="0" w:lastRow="0" w:noHBand="0" w:noVBand="1" w:val="04A0"/>
      </w:tblPr>
      <w:tblGrid>
        <w:gridCol w:w="5100"/>
        <w:gridCol w:w="5100"/>
      </w:tblGrid>
      <w:tr>
        <w:tc>
          <w:tcPr>
            <w:tcW w:type="dxa" w:w="5100"/>
            <w:shd w:fill="D9EAF7"/>
          </w:tcPr>
          <w:p>
            <w:r>
              <w:t>Field</w:t>
            </w:r>
          </w:p>
        </w:tc>
        <w:tc>
          <w:tcPr>
            <w:tcW w:type="dxa" w:w="5100"/>
            <w:shd w:fill="D9EAF7"/>
          </w:tcPr>
          <w:p>
            <w:r>
              <w:t>Value</w:t>
            </w:r>
          </w:p>
        </w:tc>
      </w:tr>
      <w:tr>
        <w:tc>
          <w:tcPr>
            <w:tcW w:type="dxa" w:w="5100"/>
          </w:tcPr>
          <w:p>
            <w:r>
              <w:t>Status</w:t>
            </w:r>
          </w:p>
        </w:tc>
        <w:tc>
          <w:tcPr>
            <w:tcW w:type="dxa" w:w="5100"/>
          </w:tcPr>
          <w:p>
            <w:r>
              <w:t>Working-group draft companion page</w:t>
            </w:r>
          </w:p>
        </w:tc>
      </w:tr>
      <w:tr>
        <w:tc>
          <w:tcPr>
            <w:tcW w:type="dxa" w:w="5100"/>
          </w:tcPr>
          <w:p>
            <w:r>
              <w:t>Purpose</w:t>
            </w:r>
          </w:p>
        </w:tc>
        <w:tc>
          <w:tcPr>
            <w:tcW w:type="dxa" w:w="5100"/>
          </w:tcPr>
          <w:p>
            <w:r>
              <w:t>Practical build sequencing for VectorDBaaS, aligned to the v2.1 target architecture</w:t>
            </w:r>
          </w:p>
        </w:tc>
      </w:tr>
      <w:tr>
        <w:tc>
          <w:tcPr>
            <w:tcW w:type="dxa" w:w="5100"/>
          </w:tcPr>
          <w:p>
            <w:r>
              <w:t>Audience</w:t>
            </w:r>
          </w:p>
        </w:tc>
        <w:tc>
          <w:tcPr>
            <w:tcW w:type="dxa" w:w="5100"/>
          </w:tcPr>
          <w:p>
            <w:r>
              <w:t>Architects, platform leads, governance partners, working-group reviewers, and funding / resourcing stakeholders</w:t>
            </w:r>
          </w:p>
        </w:tc>
      </w:tr>
      <w:tr>
        <w:tc>
          <w:tcPr>
            <w:tcW w:type="dxa" w:w="5100"/>
          </w:tcPr>
          <w:p>
            <w:r>
              <w:t>Position</w:t>
            </w:r>
          </w:p>
        </w:tc>
        <w:tc>
          <w:tcPr>
            <w:tcW w:type="dxa" w:w="5100"/>
          </w:tcPr>
          <w:p>
            <w:r>
              <w:t>This page translates the phased sequencing in the v2.1 reference design into a practical delivery roadmap, covering mobilisation, MVP scope, dependencies, evidence, resourcing, and controlled scale-out</w:t>
            </w:r>
          </w:p>
        </w:tc>
      </w:tr>
    </w:tbl>
    <w:p>
      <w:pPr>
        <w:pStyle w:val="Heading1"/>
      </w:pPr>
      <w:r>
        <w:t>1. Purpose of this page</w:t>
      </w:r>
    </w:p>
    <w:p>
      <w:r>
        <w:t>The VectorDBaaS v2.1 reference design defines the proposed target operating shape for the service: a central control plane, federated data planes, a dual access model, approved embedding governance through Group AI, and phased adoption across platforms and use cases. This page is the practical build companion to that design.</w:t>
      </w:r>
    </w:p>
    <w:p>
      <w:r>
        <w:t>Its purpose is to make the delivery path clear by explaining what should be built first, what must be true before each stage begins, what is deliberately deferred, what evidence is needed before progressing, and what resourcing and dependencies are realistically required in a regulated bank.</w:t>
      </w:r>
    </w:p>
    <w:p>
      <w:r>
        <w:t>This roadmap is sequenced and evidence-led. It is intended for mobilisation, funding, resourcing, and working-group governance. It is not a date-based commitment plan.</w:t>
      </w:r>
    </w:p>
    <w:p>
      <w:pPr>
        <w:pStyle w:val="Heading1"/>
      </w:pPr>
      <w:r>
        <w:t>2. Current position and immediate next steps</w:t>
      </w:r>
    </w:p>
    <w:p>
      <w:pPr>
        <w:pStyle w:val="Heading2"/>
      </w:pPr>
      <w:r>
        <w:t>Current position</w:t>
      </w:r>
    </w:p>
    <w:p>
      <w:r>
        <w:t>The workstream is moving from reference-design definition into service mobilisation. The VectorDBaaS reference design is in working-group review, candidate use cases have been shortlisted across group functions, and structured intake is being established to support capability mapping and prioritisation.</w:t>
      </w:r>
    </w:p>
    <w:p>
      <w:r>
        <w:t>The service is not yet in build; it is at the point of confirming the conditions for MVP delivery.</w:t>
      </w:r>
    </w:p>
    <w:p>
      <w:pPr>
        <w:pStyle w:val="Heading2"/>
      </w:pPr>
      <w:r>
        <w:t>Immediate next steps</w:t>
      </w:r>
    </w:p>
    <w:p>
      <w:pPr>
        <w:pStyle w:val="ListBullet"/>
      </w:pPr>
      <w:r>
        <w:t>confirm the first reference data platform and platform sponsor</w:t>
      </w:r>
    </w:p>
    <w:p>
      <w:pPr>
        <w:pStyle w:val="ListBullet"/>
      </w:pPr>
      <w:r>
        <w:t>confirm the first MVP tenant and use case</w:t>
      </w:r>
    </w:p>
    <w:p>
      <w:pPr>
        <w:pStyle w:val="ListBullet"/>
      </w:pPr>
      <w:r>
        <w:t>align with Group AI on the initial approved embedding-model path</w:t>
      </w:r>
    </w:p>
    <w:p>
      <w:pPr>
        <w:pStyle w:val="ListBullet"/>
      </w:pPr>
      <w:r>
        <w:t>establish the initial collection contract and onboarding model</w:t>
      </w:r>
    </w:p>
    <w:p>
      <w:pPr>
        <w:pStyle w:val="ListBullet"/>
      </w:pPr>
      <w:r>
        <w:t>begin control-function engagement in parallel</w:t>
      </w:r>
    </w:p>
    <w:p>
      <w:pPr>
        <w:pStyle w:val="ListBullet"/>
      </w:pPr>
      <w:r>
        <w:t>secure funded MVP resourcing</w:t>
      </w:r>
    </w:p>
    <w:p>
      <w:r>
        <w:t>Current roadmap stage: Stage 0 — Mobilise and define the service baseline.</w:t>
      </w:r>
    </w:p>
    <w:p>
      <w:pPr>
        <w:pStyle w:val="Heading1"/>
      </w:pPr>
      <w:r>
        <w:t>3. Decisions sought from the working group</w:t>
      </w:r>
    </w:p>
    <w:p>
      <w:pPr>
        <w:pStyle w:val="ListBullet"/>
      </w:pPr>
      <w:r>
        <w:t>endorse the practical build sequence from mobilisation through steady-state service</w:t>
      </w:r>
    </w:p>
    <w:p>
      <w:pPr>
        <w:pStyle w:val="ListBullet"/>
      </w:pPr>
      <w:r>
        <w:t>confirm the first reference data platform and platform sponsor</w:t>
      </w:r>
    </w:p>
    <w:p>
      <w:pPr>
        <w:pStyle w:val="ListBullet"/>
      </w:pPr>
      <w:r>
        <w:t>endorse the MVP scope of one platform, one tenant, and one use case</w:t>
      </w:r>
    </w:p>
    <w:p>
      <w:pPr>
        <w:pStyle w:val="ListBullet"/>
      </w:pPr>
      <w:r>
        <w:t>confirm the resourcing pattern required for mobilisation and MVP delivery</w:t>
      </w:r>
    </w:p>
    <w:p>
      <w:pPr>
        <w:pStyle w:val="ListBullet"/>
      </w:pPr>
      <w:r>
        <w:t>confirm Group AI commitment to support at least one approved embedding-model path</w:t>
      </w:r>
    </w:p>
    <w:p>
      <w:pPr>
        <w:pStyle w:val="ListBullet"/>
      </w:pPr>
      <w:r>
        <w:t>endorse the explicit non-scope and service boundary in this roadmap</w:t>
      </w:r>
    </w:p>
    <w:p>
      <w:pPr>
        <w:pStyle w:val="ListBullet"/>
      </w:pPr>
      <w:r>
        <w:t>confirm the proposed governance engagement and evidence-led progression model</w:t>
      </w:r>
    </w:p>
    <w:p>
      <w:pPr>
        <w:pStyle w:val="Heading1"/>
      </w:pPr>
      <w:r>
        <w:t>4. Delivery principles</w:t>
      </w:r>
    </w:p>
    <w:tbl>
      <w:tblPr>
        <w:tblStyle w:val="TableGrid"/>
        <w:tblW w:type="auto" w:w="0"/>
        <w:tblLook w:firstColumn="1" w:firstRow="1" w:lastColumn="0" w:lastRow="0" w:noHBand="0" w:noVBand="1" w:val="04A0"/>
      </w:tblPr>
      <w:tblGrid>
        <w:gridCol w:w="5100"/>
        <w:gridCol w:w="5100"/>
      </w:tblGrid>
      <w:tr>
        <w:tc>
          <w:tcPr>
            <w:tcW w:type="dxa" w:w="5100"/>
            <w:shd w:fill="E2F0D9"/>
          </w:tcPr>
          <w:p>
            <w:r>
              <w:t>Principle</w:t>
            </w:r>
          </w:p>
        </w:tc>
        <w:tc>
          <w:tcPr>
            <w:tcW w:type="dxa" w:w="5100"/>
            <w:shd w:fill="E2F0D9"/>
          </w:tcPr>
          <w:p>
            <w:r>
              <w:t>What it means in practice</w:t>
            </w:r>
          </w:p>
        </w:tc>
      </w:tr>
      <w:tr>
        <w:tc>
          <w:tcPr>
            <w:tcW w:type="dxa" w:w="5100"/>
          </w:tcPr>
          <w:p>
            <w:r>
              <w:t>Reference-first implementation</w:t>
            </w:r>
          </w:p>
        </w:tc>
        <w:tc>
          <w:tcPr>
            <w:tcW w:type="dxa" w:w="5100"/>
          </w:tcPr>
          <w:p>
            <w:r>
              <w:t>Start with one platform, one tenant, and one end-to-end use case. Prove the pattern before expanding.</w:t>
            </w:r>
          </w:p>
        </w:tc>
      </w:tr>
      <w:tr>
        <w:tc>
          <w:tcPr>
            <w:tcW w:type="dxa" w:w="5100"/>
          </w:tcPr>
          <w:p>
            <w:r>
              <w:t>Reuse before rebuild</w:t>
            </w:r>
          </w:p>
        </w:tc>
        <w:tc>
          <w:tcPr>
            <w:tcW w:type="dxa" w:w="5100"/>
          </w:tcPr>
          <w:p>
            <w:r>
              <w:t>Wrap existing platform capabilities where they satisfy the service contract and control model. Replace only where there is a real gap.</w:t>
            </w:r>
          </w:p>
        </w:tc>
      </w:tr>
      <w:tr>
        <w:tc>
          <w:tcPr>
            <w:tcW w:type="dxa" w:w="5100"/>
          </w:tcPr>
          <w:p>
            <w:r>
              <w:t>Governance mobilisation in parallel</w:t>
            </w:r>
          </w:p>
        </w:tc>
        <w:tc>
          <w:tcPr>
            <w:tcW w:type="dxa" w:w="5100"/>
          </w:tcPr>
          <w:p>
            <w:r>
              <w:t>Control-function engagement begins from Stage 0 and progresses alongside delivery rather than being treated as an end-stage gate.</w:t>
            </w:r>
          </w:p>
        </w:tc>
      </w:tr>
      <w:tr>
        <w:tc>
          <w:tcPr>
            <w:tcW w:type="dxa" w:w="5100"/>
          </w:tcPr>
          <w:p>
            <w:r>
              <w:t>No central vector store</w:t>
            </w:r>
          </w:p>
        </w:tc>
        <w:tc>
          <w:tcPr>
            <w:tcW w:type="dxa" w:w="5100"/>
          </w:tcPr>
          <w:p>
            <w:r>
              <w:t>Vectors remain in platform-aligned data planes. The control plane governs the service; it does not become a central raw vector store.</w:t>
            </w:r>
          </w:p>
        </w:tc>
      </w:tr>
      <w:tr>
        <w:tc>
          <w:tcPr>
            <w:tcW w:type="dxa" w:w="5100"/>
          </w:tcPr>
          <w:p>
            <w:r>
              <w:t>No use-case-specific logic inside the service</w:t>
            </w:r>
          </w:p>
        </w:tc>
        <w:tc>
          <w:tcPr>
            <w:tcW w:type="dxa" w:w="5100"/>
          </w:tcPr>
          <w:p>
            <w:r>
              <w:t>Prompt orchestration, business ranking rules, and bespoke workflow logic remain tenant or peer-service concerns.</w:t>
            </w:r>
          </w:p>
        </w:tc>
      </w:tr>
      <w:tr>
        <w:tc>
          <w:tcPr>
            <w:tcW w:type="dxa" w:w="5100"/>
          </w:tcPr>
          <w:p>
            <w:r>
              <w:t>Progression by evidence</w:t>
            </w:r>
          </w:p>
        </w:tc>
        <w:tc>
          <w:tcPr>
            <w:tcW w:type="dxa" w:w="5100"/>
          </w:tcPr>
          <w:p>
            <w:r>
              <w:t>Stages progress when exit criteria are met and evidence is available, not because time has passed.</w:t>
            </w:r>
          </w:p>
        </w:tc>
      </w:tr>
    </w:tbl>
    <w:p>
      <w:pPr>
        <w:pStyle w:val="Heading1"/>
      </w:pPr>
      <w:r>
        <w:t>5. Roadmap summary</w:t>
      </w:r>
    </w:p>
    <w:tbl>
      <w:tblPr>
        <w:tblStyle w:val="TableGrid"/>
        <w:tblW w:type="auto" w:w="0"/>
        <w:tblLook w:firstColumn="1" w:firstRow="1" w:lastColumn="0" w:lastRow="0" w:noHBand="0" w:noVBand="1" w:val="04A0"/>
      </w:tblPr>
      <w:tblGrid>
        <w:gridCol w:w="3400"/>
        <w:gridCol w:w="3400"/>
        <w:gridCol w:w="3400"/>
      </w:tblGrid>
      <w:tr>
        <w:tc>
          <w:tcPr>
            <w:tcW w:type="dxa" w:w="3400"/>
            <w:shd w:fill="D9EAF7"/>
          </w:tcPr>
          <w:p>
            <w:r>
              <w:t>Stage</w:t>
            </w:r>
          </w:p>
        </w:tc>
        <w:tc>
          <w:tcPr>
            <w:tcW w:type="dxa" w:w="3400"/>
            <w:shd w:fill="D9EAF7"/>
          </w:tcPr>
          <w:p>
            <w:r>
              <w:t>Purpose</w:t>
            </w:r>
          </w:p>
        </w:tc>
        <w:tc>
          <w:tcPr>
            <w:tcW w:type="dxa" w:w="3400"/>
            <w:shd w:fill="D9EAF7"/>
          </w:tcPr>
          <w:p>
            <w:r>
              <w:t>Headline outcome</w:t>
            </w:r>
          </w:p>
        </w:tc>
      </w:tr>
      <w:tr>
        <w:tc>
          <w:tcPr>
            <w:tcW w:type="dxa" w:w="3400"/>
          </w:tcPr>
          <w:p>
            <w:r>
              <w:t>Stage 0</w:t>
            </w:r>
          </w:p>
        </w:tc>
        <w:tc>
          <w:tcPr>
            <w:tcW w:type="dxa" w:w="3400"/>
          </w:tcPr>
          <w:p>
            <w:r>
              <w:t>Mobilise and define the service baseline</w:t>
            </w:r>
          </w:p>
        </w:tc>
        <w:tc>
          <w:tcPr>
            <w:tcW w:type="dxa" w:w="3400"/>
          </w:tcPr>
          <w:p>
            <w:r>
              <w:t>Confirm platform, first tenant, model path, contract model, and MVP team</w:t>
            </w:r>
          </w:p>
        </w:tc>
      </w:tr>
      <w:tr>
        <w:tc>
          <w:tcPr>
            <w:tcW w:type="dxa" w:w="3400"/>
          </w:tcPr>
          <w:p>
            <w:r>
              <w:t>Stage 1</w:t>
            </w:r>
          </w:p>
        </w:tc>
        <w:tc>
          <w:tcPr>
            <w:tcW w:type="dxa" w:w="3400"/>
          </w:tcPr>
          <w:p>
            <w:r>
              <w:t>Stand up the minimum viable service</w:t>
            </w:r>
          </w:p>
        </w:tc>
        <w:tc>
          <w:tcPr>
            <w:tcW w:type="dxa" w:w="3400"/>
          </w:tcPr>
          <w:p>
            <w:r>
              <w:t>Deliver the first operational service on one platform with one tenant and one end-to-end use case</w:t>
            </w:r>
          </w:p>
        </w:tc>
      </w:tr>
      <w:tr>
        <w:tc>
          <w:tcPr>
            <w:tcW w:type="dxa" w:w="3400"/>
          </w:tcPr>
          <w:p>
            <w:r>
              <w:t>Stage 2</w:t>
            </w:r>
          </w:p>
        </w:tc>
        <w:tc>
          <w:tcPr>
            <w:tcW w:type="dxa" w:w="3400"/>
          </w:tcPr>
          <w:p>
            <w:r>
              <w:t>Harden for multi-tenant use</w:t>
            </w:r>
          </w:p>
        </w:tc>
        <w:tc>
          <w:tcPr>
            <w:tcW w:type="dxa" w:w="3400"/>
          </w:tcPr>
          <w:p>
            <w:r>
              <w:t>Prove tenancy, runtime controls, refresh, observability, and quality governance on the same platform</w:t>
            </w:r>
          </w:p>
        </w:tc>
      </w:tr>
      <w:tr>
        <w:tc>
          <w:tcPr>
            <w:tcW w:type="dxa" w:w="3400"/>
          </w:tcPr>
          <w:p>
            <w:r>
              <w:t>Stage 3</w:t>
            </w:r>
          </w:p>
        </w:tc>
        <w:tc>
          <w:tcPr>
            <w:tcW w:type="dxa" w:w="3400"/>
          </w:tcPr>
          <w:p>
            <w:r>
              <w:t>Extend to multiple data platforms</w:t>
            </w:r>
          </w:p>
        </w:tc>
        <w:tc>
          <w:tcPr>
            <w:tcW w:type="dxa" w:w="3400"/>
          </w:tcPr>
          <w:p>
            <w:r>
              <w:t>Introduce additional data planes while keeping one common control plane and one service contract</w:t>
            </w:r>
          </w:p>
        </w:tc>
      </w:tr>
      <w:tr>
        <w:tc>
          <w:tcPr>
            <w:tcW w:type="dxa" w:w="3400"/>
          </w:tcPr>
          <w:p>
            <w:r>
              <w:t>Stage 4</w:t>
            </w:r>
          </w:p>
        </w:tc>
        <w:tc>
          <w:tcPr>
            <w:tcW w:type="dxa" w:w="3400"/>
          </w:tcPr>
          <w:p>
            <w:r>
              <w:t>Enable Fabric publication</w:t>
            </w:r>
          </w:p>
        </w:tc>
        <w:tc>
          <w:tcPr>
            <w:tcW w:type="dxa" w:w="3400"/>
          </w:tcPr>
          <w:p>
            <w:r>
              <w:t>Add the second access path for curated semantic and vector-derived products</w:t>
            </w:r>
          </w:p>
        </w:tc>
      </w:tr>
      <w:tr>
        <w:tc>
          <w:tcPr>
            <w:tcW w:type="dxa" w:w="3400"/>
          </w:tcPr>
          <w:p>
            <w:r>
              <w:t>Stage 5</w:t>
            </w:r>
          </w:p>
        </w:tc>
        <w:tc>
          <w:tcPr>
            <w:tcW w:type="dxa" w:w="3400"/>
          </w:tcPr>
          <w:p>
            <w:r>
              <w:t>Move to steady-state service</w:t>
            </w:r>
          </w:p>
        </w:tc>
        <w:tc>
          <w:tcPr>
            <w:tcW w:type="dxa" w:w="3400"/>
          </w:tcPr>
          <w:p>
            <w:r>
              <w:t>Operate as a repeatable service with standard onboarding, chargeback, and service operations</w:t>
            </w:r>
          </w:p>
        </w:tc>
      </w:tr>
    </w:tbl>
    <w:p>
      <w:pPr>
        <w:pStyle w:val="Heading1"/>
      </w:pPr>
      <w:r>
        <w:t>6. Stage detail</w:t>
      </w:r>
    </w:p>
    <w:p>
      <w:pPr>
        <w:pStyle w:val="Heading2"/>
      </w:pPr>
      <w:r>
        <w:t>Stage 0 — Mobilise and define the service baseline</w:t>
      </w:r>
    </w:p>
    <w:tbl>
      <w:tblPr>
        <w:tblStyle w:val="TableGrid"/>
        <w:tblW w:type="auto" w:w="0"/>
        <w:tblLook w:firstColumn="1" w:firstRow="1" w:lastColumn="0" w:lastRow="0" w:noHBand="0" w:noVBand="1" w:val="04A0"/>
      </w:tblPr>
      <w:tblGrid>
        <w:gridCol w:w="5100"/>
        <w:gridCol w:w="5100"/>
      </w:tblGrid>
      <w:tr>
        <w:tc>
          <w:tcPr>
            <w:tcW w:type="dxa" w:w="5100"/>
            <w:shd w:fill="F2F2F2"/>
          </w:tcPr>
          <w:p>
            <w:r>
              <w:t>Objective</w:t>
            </w:r>
          </w:p>
        </w:tc>
        <w:tc>
          <w:tcPr>
            <w:tcW w:type="dxa" w:w="5100"/>
          </w:tcPr>
          <w:p>
            <w:r>
              <w:t>Create the minimum conditions needed to move from architecture pattern to delivery mobilisation.</w:t>
            </w:r>
          </w:p>
        </w:tc>
      </w:tr>
      <w:tr>
        <w:tc>
          <w:tcPr>
            <w:tcW w:type="dxa" w:w="5100"/>
            <w:shd w:fill="F2F2F2"/>
          </w:tcPr>
          <w:p>
            <w:r>
              <w:t>Build focus</w:t>
            </w:r>
          </w:p>
        </w:tc>
        <w:tc>
          <w:tcPr>
            <w:tcW w:type="dxa" w:w="5100"/>
          </w:tcPr>
          <w:p>
            <w:r>
              <w:t>Confirm reference platform and sponsor; confirm first tenant and use case; define the initial collection contract; confirm the initial embedding-model path; confirm RACI and ownership boundaries; initiate governance engagement; secure funded MVP resourcing.</w:t>
            </w:r>
          </w:p>
        </w:tc>
      </w:tr>
      <w:tr>
        <w:tc>
          <w:tcPr>
            <w:tcW w:type="dxa" w:w="5100"/>
            <w:shd w:fill="F2F2F2"/>
          </w:tcPr>
          <w:p>
            <w:r>
              <w:t>Deliberately out of scope</w:t>
            </w:r>
          </w:p>
        </w:tc>
        <w:tc>
          <w:tcPr>
            <w:tcW w:type="dxa" w:w="5100"/>
          </w:tcPr>
          <w:p>
            <w:r>
              <w:t>No production data plane; no production tenant; no Fabric publication; no multi-platform rollout.</w:t>
            </w:r>
          </w:p>
        </w:tc>
      </w:tr>
      <w:tr>
        <w:tc>
          <w:tcPr>
            <w:tcW w:type="dxa" w:w="5100"/>
            <w:shd w:fill="F2F2F2"/>
          </w:tcPr>
          <w:p>
            <w:r>
              <w:t>Key dependencies</w:t>
            </w:r>
          </w:p>
        </w:tc>
        <w:tc>
          <w:tcPr>
            <w:tcW w:type="dxa" w:w="5100"/>
          </w:tcPr>
          <w:p>
            <w:r>
              <w:t>Working-group and architecture alignment; Group AI participation; first platform commitment; initial control-function engagement.</w:t>
            </w:r>
          </w:p>
        </w:tc>
      </w:tr>
      <w:tr>
        <w:tc>
          <w:tcPr>
            <w:tcW w:type="dxa" w:w="5100"/>
            <w:shd w:fill="F2F2F2"/>
          </w:tcPr>
          <w:p>
            <w:r>
              <w:t>Key risks</w:t>
            </w:r>
          </w:p>
        </w:tc>
        <w:tc>
          <w:tcPr>
            <w:tcW w:type="dxa" w:w="5100"/>
          </w:tcPr>
          <w:p>
            <w:r>
              <w:t>Endorsement delay; funding without staffing; no platform capacity; model path not confirmed.</w:t>
            </w:r>
          </w:p>
        </w:tc>
      </w:tr>
      <w:tr>
        <w:tc>
          <w:tcPr>
            <w:tcW w:type="dxa" w:w="5100"/>
            <w:shd w:fill="F2F2F2"/>
          </w:tcPr>
          <w:p>
            <w:r>
              <w:t>Exit criteria</w:t>
            </w:r>
          </w:p>
        </w:tc>
        <w:tc>
          <w:tcPr>
            <w:tcW w:type="dxa" w:w="5100"/>
          </w:tcPr>
          <w:p>
            <w:r>
              <w:t>Reference platform agreed; sponsor identified; first use case and tenant agreed; contract template reviewed; initial model path confirmed; MVP team funded.</w:t>
            </w:r>
          </w:p>
        </w:tc>
      </w:tr>
    </w:tbl>
    <w:p>
      <w:r>
        <w:t>Why this stage matters: This stage is about service mobilisation, not engineering scale-out.</w:t>
      </w:r>
    </w:p>
    <w:p>
      <w:pPr>
        <w:pStyle w:val="Heading2"/>
      </w:pPr>
      <w:r>
        <w:t>Stage 1 — Stand up the minimum viable service</w:t>
      </w:r>
    </w:p>
    <w:tbl>
      <w:tblPr>
        <w:tblStyle w:val="TableGrid"/>
        <w:tblW w:type="auto" w:w="0"/>
        <w:tblLook w:firstColumn="1" w:firstRow="1" w:lastColumn="0" w:lastRow="0" w:noHBand="0" w:noVBand="1" w:val="04A0"/>
      </w:tblPr>
      <w:tblGrid>
        <w:gridCol w:w="5100"/>
        <w:gridCol w:w="5100"/>
      </w:tblGrid>
      <w:tr>
        <w:tc>
          <w:tcPr>
            <w:tcW w:type="dxa" w:w="5100"/>
            <w:shd w:fill="F2F2F2"/>
          </w:tcPr>
          <w:p>
            <w:r>
              <w:t>Objective</w:t>
            </w:r>
          </w:p>
        </w:tc>
        <w:tc>
          <w:tcPr>
            <w:tcW w:type="dxa" w:w="5100"/>
          </w:tcPr>
          <w:p>
            <w:r>
              <w:t>Demonstrate the service end to end on one platform for one tenant using one real use case.</w:t>
            </w:r>
          </w:p>
        </w:tc>
      </w:tr>
      <w:tr>
        <w:tc>
          <w:tcPr>
            <w:tcW w:type="dxa" w:w="5100"/>
            <w:shd w:fill="F2F2F2"/>
          </w:tcPr>
          <w:p>
            <w:r>
              <w:t>Build focus</w:t>
            </w:r>
          </w:p>
        </w:tc>
        <w:tc>
          <w:tcPr>
            <w:tcW w:type="dxa" w:w="5100"/>
          </w:tcPr>
          <w:p>
            <w:r>
              <w:t>Initial control plane services; one reference data plane; ingestion path; retrieval API; runtime access and policy enforcement; onboarding of the first tenant; basic observability, audit, and lineage.</w:t>
            </w:r>
          </w:p>
        </w:tc>
      </w:tr>
      <w:tr>
        <w:tc>
          <w:tcPr>
            <w:tcW w:type="dxa" w:w="5100"/>
            <w:shd w:fill="F2F2F2"/>
          </w:tcPr>
          <w:p>
            <w:r>
              <w:t>Deliberately out of scope</w:t>
            </w:r>
          </w:p>
        </w:tc>
        <w:tc>
          <w:tcPr>
            <w:tcW w:type="dxa" w:w="5100"/>
          </w:tcPr>
          <w:p>
            <w:r>
              <w:t>No multi-tenant service; no Fabric publication; no production chargeback; no federation; no self-service onboarding.</w:t>
            </w:r>
          </w:p>
        </w:tc>
      </w:tr>
      <w:tr>
        <w:tc>
          <w:tcPr>
            <w:tcW w:type="dxa" w:w="5100"/>
            <w:shd w:fill="F2F2F2"/>
          </w:tcPr>
          <w:p>
            <w:r>
              <w:t>Key dependencies</w:t>
            </w:r>
          </w:p>
        </w:tc>
        <w:tc>
          <w:tcPr>
            <w:tcW w:type="dxa" w:w="5100"/>
          </w:tcPr>
          <w:p>
            <w:r>
              <w:t>Classified source data; approved embedding path through Group AI / MCP; platform engineering capacity; first contract acceptable to governance partners.</w:t>
            </w:r>
          </w:p>
        </w:tc>
      </w:tr>
      <w:tr>
        <w:tc>
          <w:tcPr>
            <w:tcW w:type="dxa" w:w="5100"/>
            <w:shd w:fill="F2F2F2"/>
          </w:tcPr>
          <w:p>
            <w:r>
              <w:t>Key risks</w:t>
            </w:r>
          </w:p>
        </w:tc>
        <w:tc>
          <w:tcPr>
            <w:tcW w:type="dxa" w:w="5100"/>
          </w:tcPr>
          <w:p>
            <w:r>
              <w:t>Poor source-data readiness; delayed model access; platform capacity constraints; MVP scope creep.</w:t>
            </w:r>
          </w:p>
        </w:tc>
      </w:tr>
      <w:tr>
        <w:tc>
          <w:tcPr>
            <w:tcW w:type="dxa" w:w="5100"/>
            <w:shd w:fill="F2F2F2"/>
          </w:tcPr>
          <w:p>
            <w:r>
              <w:t>Exit criteria</w:t>
            </w:r>
          </w:p>
        </w:tc>
        <w:tc>
          <w:tcPr>
            <w:tcW w:type="dxa" w:w="5100"/>
          </w:tcPr>
          <w:p>
            <w:r>
              <w:t>End-to-end ingest, embed, index, retrieve flow live; classification gate working; lineage visible; audit trail present; first tenant signed off.</w:t>
            </w:r>
          </w:p>
        </w:tc>
      </w:tr>
    </w:tbl>
    <w:p>
      <w:r>
        <w:t>Why this stage matters: This is the first operational proof that the proposed service pattern is viable.</w:t>
      </w:r>
    </w:p>
    <w:p>
      <w:pPr>
        <w:pStyle w:val="Heading2"/>
      </w:pPr>
      <w:r>
        <w:t>Stage 2 — Harden for multi-tenant use</w:t>
      </w:r>
    </w:p>
    <w:tbl>
      <w:tblPr>
        <w:tblStyle w:val="TableGrid"/>
        <w:tblW w:type="auto" w:w="0"/>
        <w:tblLook w:firstColumn="1" w:firstRow="1" w:lastColumn="0" w:lastRow="0" w:noHBand="0" w:noVBand="1" w:val="04A0"/>
      </w:tblPr>
      <w:tblGrid>
        <w:gridCol w:w="5100"/>
        <w:gridCol w:w="5100"/>
      </w:tblGrid>
      <w:tr>
        <w:tc>
          <w:tcPr>
            <w:tcW w:type="dxa" w:w="5100"/>
            <w:shd w:fill="F2F2F2"/>
          </w:tcPr>
          <w:p>
            <w:r>
              <w:t>Objective</w:t>
            </w:r>
          </w:p>
        </w:tc>
        <w:tc>
          <w:tcPr>
            <w:tcW w:type="dxa" w:w="5100"/>
          </w:tcPr>
          <w:p>
            <w:r>
              <w:t>Prove that the service can support multiple tenants on the same platform without breaking governance, quality, or operability.</w:t>
            </w:r>
          </w:p>
        </w:tc>
      </w:tr>
      <w:tr>
        <w:tc>
          <w:tcPr>
            <w:tcW w:type="dxa" w:w="5100"/>
            <w:shd w:fill="F2F2F2"/>
          </w:tcPr>
          <w:p>
            <w:r>
              <w:t>Build focus</w:t>
            </w:r>
          </w:p>
        </w:tc>
        <w:tc>
          <w:tcPr>
            <w:tcW w:type="dxa" w:w="5100"/>
          </w:tcPr>
          <w:p>
            <w:r>
              <w:t>Onboard 3–5 tenants; strengthen runtime entitlement; establish isolation patterns; introduce chargeback dry-run; perform first model refresh and reindex; introduce retrieval-quality framework v1; make onboarding repeatable.</w:t>
            </w:r>
          </w:p>
        </w:tc>
      </w:tr>
      <w:tr>
        <w:tc>
          <w:tcPr>
            <w:tcW w:type="dxa" w:w="5100"/>
            <w:shd w:fill="F2F2F2"/>
          </w:tcPr>
          <w:p>
            <w:r>
              <w:t>Deliberately out of scope</w:t>
            </w:r>
          </w:p>
        </w:tc>
        <w:tc>
          <w:tcPr>
            <w:tcW w:type="dxa" w:w="5100"/>
          </w:tcPr>
          <w:p>
            <w:r>
              <w:t>No multi-platform federation; no Fabric publication; no public chargeback; no agentic orchestration inside the service.</w:t>
            </w:r>
          </w:p>
        </w:tc>
      </w:tr>
      <w:tr>
        <w:tc>
          <w:tcPr>
            <w:tcW w:type="dxa" w:w="5100"/>
            <w:shd w:fill="F2F2F2"/>
          </w:tcPr>
          <w:p>
            <w:r>
              <w:t>Key dependencies</w:t>
            </w:r>
          </w:p>
        </w:tc>
        <w:tc>
          <w:tcPr>
            <w:tcW w:type="dxa" w:w="5100"/>
          </w:tcPr>
          <w:p>
            <w:r>
              <w:t>Tenants able to provide benchmark sets and acceptance criteria; Group AI ready to support model refresh; entitlement model accepted.</w:t>
            </w:r>
          </w:p>
        </w:tc>
      </w:tr>
      <w:tr>
        <w:tc>
          <w:tcPr>
            <w:tcW w:type="dxa" w:w="5100"/>
            <w:shd w:fill="F2F2F2"/>
          </w:tcPr>
          <w:p>
            <w:r>
              <w:t>Key risks</w:t>
            </w:r>
          </w:p>
        </w:tc>
        <w:tc>
          <w:tcPr>
            <w:tcW w:type="dxa" w:w="5100"/>
          </w:tcPr>
          <w:p>
            <w:r>
              <w:t>Weak tenant benchmark inputs; model refresh regression; pressure for unsupported shared-collection patterns; disputed chargeback signals.</w:t>
            </w:r>
          </w:p>
        </w:tc>
      </w:tr>
      <w:tr>
        <w:tc>
          <w:tcPr>
            <w:tcW w:type="dxa" w:w="5100"/>
            <w:shd w:fill="F2F2F2"/>
          </w:tcPr>
          <w:p>
            <w:r>
              <w:t>Exit criteria</w:t>
            </w:r>
          </w:p>
        </w:tc>
        <w:tc>
          <w:tcPr>
            <w:tcW w:type="dxa" w:w="5100"/>
          </w:tcPr>
          <w:p>
            <w:r>
              <w:t>3+ tenants onboarded under contract; first chargeback dry-run available; first model refresh completed successfully; retrieval-quality baselines established; no production tenant outside contract.</w:t>
            </w:r>
          </w:p>
        </w:tc>
      </w:tr>
    </w:tbl>
    <w:p>
      <w:r>
        <w:t>Why this stage matters: This is where the service becomes operationally credible.</w:t>
      </w:r>
    </w:p>
    <w:p>
      <w:pPr>
        <w:pStyle w:val="Heading2"/>
      </w:pPr>
      <w:r>
        <w:t>Stage 3 — Extend to multiple data platforms</w:t>
      </w:r>
    </w:p>
    <w:tbl>
      <w:tblPr>
        <w:tblStyle w:val="TableGrid"/>
        <w:tblW w:type="auto" w:w="0"/>
        <w:tblLook w:firstColumn="1" w:firstRow="1" w:lastColumn="0" w:lastRow="0" w:noHBand="0" w:noVBand="1" w:val="04A0"/>
      </w:tblPr>
      <w:tblGrid>
        <w:gridCol w:w="5100"/>
        <w:gridCol w:w="5100"/>
      </w:tblGrid>
      <w:tr>
        <w:tc>
          <w:tcPr>
            <w:tcW w:type="dxa" w:w="5100"/>
            <w:shd w:fill="F2F2F2"/>
          </w:tcPr>
          <w:p>
            <w:r>
              <w:t>Objective</w:t>
            </w:r>
          </w:p>
        </w:tc>
        <w:tc>
          <w:tcPr>
            <w:tcW w:type="dxa" w:w="5100"/>
          </w:tcPr>
          <w:p>
            <w:r>
              <w:t>Prove that the same service model works across more than one data platform.</w:t>
            </w:r>
          </w:p>
        </w:tc>
      </w:tr>
      <w:tr>
        <w:tc>
          <w:tcPr>
            <w:tcW w:type="dxa" w:w="5100"/>
            <w:shd w:fill="F2F2F2"/>
          </w:tcPr>
          <w:p>
            <w:r>
              <w:t>Build focus</w:t>
            </w:r>
          </w:p>
        </w:tc>
        <w:tc>
          <w:tcPr>
            <w:tcW w:type="dxa" w:w="5100"/>
          </w:tcPr>
          <w:p>
            <w:r>
              <w:t>Stand up additional data planes; keep one control plane and one contract model; introduce cross-plane retrieval orchestration where justified; enforce residency and platform boundary rules; create repeatable onboarding patterns for new data planes.</w:t>
            </w:r>
          </w:p>
        </w:tc>
      </w:tr>
      <w:tr>
        <w:tc>
          <w:tcPr>
            <w:tcW w:type="dxa" w:w="5100"/>
            <w:shd w:fill="F2F2F2"/>
          </w:tcPr>
          <w:p>
            <w:r>
              <w:t>Deliberately out of scope</w:t>
            </w:r>
          </w:p>
        </w:tc>
        <w:tc>
          <w:tcPr>
            <w:tcW w:type="dxa" w:w="5100"/>
          </w:tcPr>
          <w:p>
            <w:r>
              <w:t>No Fabric publication; no central vector storage; no cross-region raw vector replication; no local deviations from core standards.</w:t>
            </w:r>
          </w:p>
        </w:tc>
      </w:tr>
      <w:tr>
        <w:tc>
          <w:tcPr>
            <w:tcW w:type="dxa" w:w="5100"/>
            <w:shd w:fill="F2F2F2"/>
          </w:tcPr>
          <w:p>
            <w:r>
              <w:t>Key dependencies</w:t>
            </w:r>
          </w:p>
        </w:tc>
        <w:tc>
          <w:tcPr>
            <w:tcW w:type="dxa" w:w="5100"/>
          </w:tcPr>
          <w:p>
            <w:r>
              <w:t>Second platform sponsor and capacity; residency positions sufficiently agreed; clear operating model across platforms.</w:t>
            </w:r>
          </w:p>
        </w:tc>
      </w:tr>
      <w:tr>
        <w:tc>
          <w:tcPr>
            <w:tcW w:type="dxa" w:w="5100"/>
            <w:shd w:fill="F2F2F2"/>
          </w:tcPr>
          <w:p>
            <w:r>
              <w:t>Key risks</w:t>
            </w:r>
          </w:p>
        </w:tc>
        <w:tc>
          <w:tcPr>
            <w:tcW w:type="dxa" w:w="5100"/>
          </w:tcPr>
          <w:p>
            <w:r>
              <w:t>Local platform divergence; cross-platform complexity introduced too early; capacity strain on the first platform while the second is onboarded.</w:t>
            </w:r>
          </w:p>
        </w:tc>
      </w:tr>
      <w:tr>
        <w:tc>
          <w:tcPr>
            <w:tcW w:type="dxa" w:w="5100"/>
            <w:shd w:fill="F2F2F2"/>
          </w:tcPr>
          <w:p>
            <w:r>
              <w:t>Exit criteria</w:t>
            </w:r>
          </w:p>
        </w:tc>
        <w:tc>
          <w:tcPr>
            <w:tcW w:type="dxa" w:w="5100"/>
          </w:tcPr>
          <w:p>
            <w:r>
              <w:t>At least two data planes live; standards applied consistently; one cross-platform scenario validated where needed; no unauthorised inter-plane coupling or replication.</w:t>
            </w:r>
          </w:p>
        </w:tc>
      </w:tr>
    </w:tbl>
    <w:p>
      <w:r>
        <w:t>Why this stage matters: This is where the hub-and-spoke model is proven as an enterprise pattern.</w:t>
      </w:r>
    </w:p>
    <w:p>
      <w:pPr>
        <w:pStyle w:val="Heading2"/>
      </w:pPr>
      <w:r>
        <w:t>Stage 4 — Enable Fabric publication</w:t>
      </w:r>
    </w:p>
    <w:tbl>
      <w:tblPr>
        <w:tblStyle w:val="TableGrid"/>
        <w:tblW w:type="auto" w:w="0"/>
        <w:tblLook w:firstColumn="1" w:firstRow="1" w:lastColumn="0" w:lastRow="0" w:noHBand="0" w:noVBand="1" w:val="04A0"/>
      </w:tblPr>
      <w:tblGrid>
        <w:gridCol w:w="5100"/>
        <w:gridCol w:w="5100"/>
      </w:tblGrid>
      <w:tr>
        <w:tc>
          <w:tcPr>
            <w:tcW w:type="dxa" w:w="5100"/>
            <w:shd w:fill="F2F2F2"/>
          </w:tcPr>
          <w:p>
            <w:r>
              <w:t>Objective</w:t>
            </w:r>
          </w:p>
        </w:tc>
        <w:tc>
          <w:tcPr>
            <w:tcW w:type="dxa" w:w="5100"/>
          </w:tcPr>
          <w:p>
            <w:r>
              <w:t>Introduce the second access path for curated semantic and vector-derived products through Fabric.</w:t>
            </w:r>
          </w:p>
        </w:tc>
      </w:tr>
      <w:tr>
        <w:tc>
          <w:tcPr>
            <w:tcW w:type="dxa" w:w="5100"/>
            <w:shd w:fill="F2F2F2"/>
          </w:tcPr>
          <w:p>
            <w:r>
              <w:t>Build focus</w:t>
            </w:r>
          </w:p>
        </w:tc>
        <w:tc>
          <w:tcPr>
            <w:tcW w:type="dxa" w:w="5100"/>
          </w:tcPr>
          <w:p>
            <w:r>
              <w:t>Define publication contracts; define what is publishable; integrate with catalogue / marketplace mechanisms; make publication and refresh measurable; support at least one non-AI consumer path.</w:t>
            </w:r>
          </w:p>
        </w:tc>
      </w:tr>
      <w:tr>
        <w:tc>
          <w:tcPr>
            <w:tcW w:type="dxa" w:w="5100"/>
            <w:shd w:fill="F2F2F2"/>
          </w:tcPr>
          <w:p>
            <w:r>
              <w:t>Deliberately out of scope</w:t>
            </w:r>
          </w:p>
        </w:tc>
        <w:tc>
          <w:tcPr>
            <w:tcW w:type="dxa" w:w="5100"/>
          </w:tcPr>
          <w:p>
            <w:r>
              <w:t>No raw vector collection exposure through Fabric; no governance bypass; no use-case-specific BI builds inside service scope.</w:t>
            </w:r>
          </w:p>
        </w:tc>
      </w:tr>
      <w:tr>
        <w:tc>
          <w:tcPr>
            <w:tcW w:type="dxa" w:w="5100"/>
            <w:shd w:fill="F2F2F2"/>
          </w:tcPr>
          <w:p>
            <w:r>
              <w:t>Key dependencies</w:t>
            </w:r>
          </w:p>
        </w:tc>
        <w:tc>
          <w:tcPr>
            <w:tcW w:type="dxa" w:w="5100"/>
          </w:tcPr>
          <w:p>
            <w:r>
              <w:t>Fabric / data product layer team capacity; at least one non-AI consumer ready; publication controls aligned to data product governance.</w:t>
            </w:r>
          </w:p>
        </w:tc>
      </w:tr>
      <w:tr>
        <w:tc>
          <w:tcPr>
            <w:tcW w:type="dxa" w:w="5100"/>
            <w:shd w:fill="F2F2F2"/>
          </w:tcPr>
          <w:p>
            <w:r>
              <w:t>Key risks</w:t>
            </w:r>
          </w:p>
        </w:tc>
        <w:tc>
          <w:tcPr>
            <w:tcW w:type="dxa" w:w="5100"/>
          </w:tcPr>
          <w:p>
            <w:r>
              <w:t>Consumers requesting raw vector access; publication refresh patterns not matching expectations; semantic product exposure confused with storage exposure.</w:t>
            </w:r>
          </w:p>
        </w:tc>
      </w:tr>
      <w:tr>
        <w:tc>
          <w:tcPr>
            <w:tcW w:type="dxa" w:w="5100"/>
            <w:shd w:fill="F2F2F2"/>
          </w:tcPr>
          <w:p>
            <w:r>
              <w:t>Exit criteria</w:t>
            </w:r>
          </w:p>
        </w:tc>
        <w:tc>
          <w:tcPr>
            <w:tcW w:type="dxa" w:w="5100"/>
          </w:tcPr>
          <w:p>
            <w:r>
              <w:t>At least one curated semantic or vector-derived product published; at least one non-AI consumer uses it; refresh model measurable; publication aligned to governance expectations.</w:t>
            </w:r>
          </w:p>
        </w:tc>
      </w:tr>
    </w:tbl>
    <w:p>
      <w:r>
        <w:t>Why this stage matters: This stage adds the second access path only after the runtime service path is stable.</w:t>
      </w:r>
    </w:p>
    <w:p>
      <w:pPr>
        <w:pStyle w:val="Heading2"/>
      </w:pPr>
      <w:r>
        <w:t>Stage 5 — Move to steady-state service</w:t>
      </w:r>
    </w:p>
    <w:tbl>
      <w:tblPr>
        <w:tblStyle w:val="TableGrid"/>
        <w:tblW w:type="auto" w:w="0"/>
        <w:tblLook w:firstColumn="1" w:firstRow="1" w:lastColumn="0" w:lastRow="0" w:noHBand="0" w:noVBand="1" w:val="04A0"/>
      </w:tblPr>
      <w:tblGrid>
        <w:gridCol w:w="5100"/>
        <w:gridCol w:w="5100"/>
      </w:tblGrid>
      <w:tr>
        <w:tc>
          <w:tcPr>
            <w:tcW w:type="dxa" w:w="5100"/>
            <w:shd w:fill="F2F2F2"/>
          </w:tcPr>
          <w:p>
            <w:r>
              <w:t>Objective</w:t>
            </w:r>
          </w:p>
        </w:tc>
        <w:tc>
          <w:tcPr>
            <w:tcW w:type="dxa" w:w="5100"/>
          </w:tcPr>
          <w:p>
            <w:r>
              <w:t>Transition from phased build-out into a repeatable service model operated as BAU.</w:t>
            </w:r>
          </w:p>
        </w:tc>
      </w:tr>
      <w:tr>
        <w:tc>
          <w:tcPr>
            <w:tcW w:type="dxa" w:w="5100"/>
            <w:shd w:fill="F2F2F2"/>
          </w:tcPr>
          <w:p>
            <w:r>
              <w:t>Build focus</w:t>
            </w:r>
          </w:p>
        </w:tc>
        <w:tc>
          <w:tcPr>
            <w:tcW w:type="dxa" w:w="5100"/>
          </w:tcPr>
          <w:p>
            <w:r>
              <w:t>Operate under clear SLAs; move chargeback into operation; shift onboarding from bespoke to standard intake; maintain embedding surveillance and refresh discipline; maintain service metrics, governance reporting, and roadmap feedback loops.</w:t>
            </w:r>
          </w:p>
        </w:tc>
      </w:tr>
      <w:tr>
        <w:tc>
          <w:tcPr>
            <w:tcW w:type="dxa" w:w="5100"/>
            <w:shd w:fill="F2F2F2"/>
          </w:tcPr>
          <w:p>
            <w:r>
              <w:t>Deliberately out of scope</w:t>
            </w:r>
          </w:p>
        </w:tc>
        <w:tc>
          <w:tcPr>
            <w:tcW w:type="dxa" w:w="5100"/>
          </w:tcPr>
          <w:p>
            <w:r>
              <w:t>No uncontrolled expansion beyond the defined service boundary; no return to bespoke onboarding as default.</w:t>
            </w:r>
          </w:p>
        </w:tc>
      </w:tr>
      <w:tr>
        <w:tc>
          <w:tcPr>
            <w:tcW w:type="dxa" w:w="5100"/>
            <w:shd w:fill="F2F2F2"/>
          </w:tcPr>
          <w:p>
            <w:r>
              <w:t>Key dependencies</w:t>
            </w:r>
          </w:p>
        </w:tc>
        <w:tc>
          <w:tcPr>
            <w:tcW w:type="dxa" w:w="5100"/>
          </w:tcPr>
          <w:p>
            <w:r>
              <w:t>Funded service team; stable operations model; SLA and chargeback acceptance; supportable onboarding process.</w:t>
            </w:r>
          </w:p>
        </w:tc>
      </w:tr>
      <w:tr>
        <w:tc>
          <w:tcPr>
            <w:tcW w:type="dxa" w:w="5100"/>
            <w:shd w:fill="F2F2F2"/>
          </w:tcPr>
          <w:p>
            <w:r>
              <w:t>Key risks</w:t>
            </w:r>
          </w:p>
        </w:tc>
        <w:tc>
          <w:tcPr>
            <w:tcW w:type="dxa" w:w="5100"/>
          </w:tcPr>
          <w:p>
            <w:r>
              <w:t>Under-resourced service operations; erosion of service boundary; weak operational discipline after the build phase.</w:t>
            </w:r>
          </w:p>
        </w:tc>
      </w:tr>
      <w:tr>
        <w:tc>
          <w:tcPr>
            <w:tcW w:type="dxa" w:w="5100"/>
            <w:shd w:fill="F2F2F2"/>
          </w:tcPr>
          <w:p>
            <w:r>
              <w:t>Exit criteria</w:t>
            </w:r>
          </w:p>
        </w:tc>
        <w:tc>
          <w:tcPr>
            <w:tcW w:type="dxa" w:w="5100"/>
          </w:tcPr>
          <w:p>
            <w:r>
              <w:t>Onboarding lead time within target; SLA reporting visible and trusted; chargeback reconciled; no production tenant outside contract; service operating as BAU.</w:t>
            </w:r>
          </w:p>
        </w:tc>
      </w:tr>
    </w:tbl>
    <w:p>
      <w:r>
        <w:t>Why this stage matters: This is where the service becomes a standing shared capability rather than a project.</w:t>
      </w:r>
    </w:p>
    <w:p>
      <w:pPr>
        <w:pStyle w:val="Heading1"/>
      </w:pPr>
      <w:r>
        <w:t>7. Resourcing model</w:t>
      </w:r>
    </w:p>
    <w:p>
      <w:pPr>
        <w:pStyle w:val="Heading2"/>
      </w:pPr>
      <w:r>
        <w:t>MVP resourcing</w:t>
      </w:r>
    </w:p>
    <w:p>
      <w:r>
        <w:t>A realistic MVP build for Stage 0 through Stage 1 should remain intentionally lean.</w:t>
      </w:r>
    </w:p>
    <w:tbl>
      <w:tblPr>
        <w:tblStyle w:val="TableGrid"/>
        <w:tblW w:type="auto" w:w="0"/>
        <w:tblLook w:firstColumn="1" w:firstRow="1" w:lastColumn="0" w:lastRow="0" w:noHBand="0" w:noVBand="1" w:val="04A0"/>
      </w:tblPr>
      <w:tblGrid>
        <w:gridCol w:w="3400"/>
        <w:gridCol w:w="3400"/>
        <w:gridCol w:w="3400"/>
      </w:tblGrid>
      <w:tr>
        <w:tc>
          <w:tcPr>
            <w:tcW w:type="dxa" w:w="3400"/>
            <w:shd w:fill="E2F0D9"/>
          </w:tcPr>
          <w:p>
            <w:r>
              <w:t>Role</w:t>
            </w:r>
          </w:p>
        </w:tc>
        <w:tc>
          <w:tcPr>
            <w:tcW w:type="dxa" w:w="3400"/>
            <w:shd w:fill="E2F0D9"/>
          </w:tcPr>
          <w:p>
            <w:r>
              <w:t>MVP stages (0–1)</w:t>
            </w:r>
          </w:p>
        </w:tc>
        <w:tc>
          <w:tcPr>
            <w:tcW w:type="dxa" w:w="3400"/>
            <w:shd w:fill="E2F0D9"/>
          </w:tcPr>
          <w:p>
            <w:r>
              <w:t>Scale-out / service stages (2–5)</w:t>
            </w:r>
          </w:p>
        </w:tc>
      </w:tr>
      <w:tr>
        <w:tc>
          <w:tcPr>
            <w:tcW w:type="dxa" w:w="3400"/>
          </w:tcPr>
          <w:p>
            <w:r>
              <w:t>Lead architect</w:t>
            </w:r>
          </w:p>
        </w:tc>
        <w:tc>
          <w:tcPr>
            <w:tcW w:type="dxa" w:w="3400"/>
          </w:tcPr>
          <w:p>
            <w:r>
              <w:t>Part-time architecture ownership and decision-making</w:t>
            </w:r>
          </w:p>
        </w:tc>
        <w:tc>
          <w:tcPr>
            <w:tcW w:type="dxa" w:w="3400"/>
          </w:tcPr>
          <w:p>
            <w:r>
              <w:t>Continues through scale-out and service governance</w:t>
            </w:r>
          </w:p>
        </w:tc>
      </w:tr>
      <w:tr>
        <w:tc>
          <w:tcPr>
            <w:tcW w:type="dxa" w:w="3400"/>
          </w:tcPr>
          <w:p>
            <w:r>
              <w:t>Technical BA</w:t>
            </w:r>
          </w:p>
        </w:tc>
        <w:tc>
          <w:tcPr>
            <w:tcW w:type="dxa" w:w="3400"/>
          </w:tcPr>
          <w:p>
            <w:r>
              <w:t>Full-time use-case intake, contract drafting, and coordination</w:t>
            </w:r>
          </w:p>
        </w:tc>
        <w:tc>
          <w:tcPr>
            <w:tcW w:type="dxa" w:w="3400"/>
          </w:tcPr>
          <w:p>
            <w:r>
              <w:t>Continues as onboarding and demand-management lead</w:t>
            </w:r>
          </w:p>
        </w:tc>
      </w:tr>
      <w:tr>
        <w:tc>
          <w:tcPr>
            <w:tcW w:type="dxa" w:w="3400"/>
          </w:tcPr>
          <w:p>
            <w:r>
              <w:t>Control-plane engineering lead</w:t>
            </w:r>
          </w:p>
        </w:tc>
        <w:tc>
          <w:tcPr>
            <w:tcW w:type="dxa" w:w="3400"/>
          </w:tcPr>
          <w:p>
            <w:r>
              <w:t>Core role</w:t>
            </w:r>
          </w:p>
        </w:tc>
        <w:tc>
          <w:tcPr>
            <w:tcW w:type="dxa" w:w="3400"/>
          </w:tcPr>
          <w:p>
            <w:r>
              <w:t>Core role</w:t>
            </w:r>
          </w:p>
        </w:tc>
      </w:tr>
      <w:tr>
        <w:tc>
          <w:tcPr>
            <w:tcW w:type="dxa" w:w="3400"/>
          </w:tcPr>
          <w:p>
            <w:r>
              <w:t>Control-plane engineer(s)</w:t>
            </w:r>
          </w:p>
        </w:tc>
        <w:tc>
          <w:tcPr>
            <w:tcW w:type="dxa" w:w="3400"/>
          </w:tcPr>
          <w:p>
            <w:r>
              <w:t>1–2 engineers</w:t>
            </w:r>
          </w:p>
        </w:tc>
        <w:tc>
          <w:tcPr>
            <w:tcW w:type="dxa" w:w="3400"/>
          </w:tcPr>
          <w:p>
            <w:r>
              <w:t>Expanded as tenancy, federation, and Fabric capabilities grow</w:t>
            </w:r>
          </w:p>
        </w:tc>
      </w:tr>
      <w:tr>
        <w:tc>
          <w:tcPr>
            <w:tcW w:type="dxa" w:w="3400"/>
          </w:tcPr>
          <w:p>
            <w:r>
              <w:t>Data-plane engineer</w:t>
            </w:r>
          </w:p>
        </w:tc>
        <w:tc>
          <w:tcPr>
            <w:tcW w:type="dxa" w:w="3400"/>
          </w:tcPr>
          <w:p>
            <w:r>
              <w:t>1 from the chosen platform team</w:t>
            </w:r>
          </w:p>
        </w:tc>
        <w:tc>
          <w:tcPr>
            <w:tcW w:type="dxa" w:w="3400"/>
          </w:tcPr>
          <w:p>
            <w:r>
              <w:t>1 per active platform-aligned data plane</w:t>
            </w:r>
          </w:p>
        </w:tc>
      </w:tr>
      <w:tr>
        <w:tc>
          <w:tcPr>
            <w:tcW w:type="dxa" w:w="3400"/>
          </w:tcPr>
          <w:p>
            <w:r>
              <w:t>Governance / security partner</w:t>
            </w:r>
          </w:p>
        </w:tc>
        <w:tc>
          <w:tcPr>
            <w:tcW w:type="dxa" w:w="3400"/>
          </w:tcPr>
          <w:p>
            <w:r>
              <w:t>Part-time</w:t>
            </w:r>
          </w:p>
        </w:tc>
        <w:tc>
          <w:tcPr>
            <w:tcW w:type="dxa" w:w="3400"/>
          </w:tcPr>
          <w:p>
            <w:r>
              <w:t>Part-time</w:t>
            </w:r>
          </w:p>
        </w:tc>
      </w:tr>
      <w:tr>
        <w:tc>
          <w:tcPr>
            <w:tcW w:type="dxa" w:w="3400"/>
          </w:tcPr>
          <w:p>
            <w:r>
              <w:t>FinOps / observability engineer</w:t>
            </w:r>
          </w:p>
        </w:tc>
        <w:tc>
          <w:tcPr>
            <w:tcW w:type="dxa" w:w="3400"/>
          </w:tcPr>
          <w:p>
            <w:r>
              <w:t>Usually not needed in Stage 0</w:t>
            </w:r>
          </w:p>
        </w:tc>
        <w:tc>
          <w:tcPr>
            <w:tcW w:type="dxa" w:w="3400"/>
          </w:tcPr>
          <w:p>
            <w:r>
              <w:t>Joins from Stage 2 onward</w:t>
            </w:r>
          </w:p>
        </w:tc>
      </w:tr>
      <w:tr>
        <w:tc>
          <w:tcPr>
            <w:tcW w:type="dxa" w:w="3400"/>
          </w:tcPr>
          <w:p>
            <w:r>
              <w:t>Tenant-side engineer</w:t>
            </w:r>
          </w:p>
        </w:tc>
        <w:tc>
          <w:tcPr>
            <w:tcW w:type="dxa" w:w="3400"/>
          </w:tcPr>
          <w:p>
            <w:r>
              <w:t>1 from MVP tenant</w:t>
            </w:r>
          </w:p>
        </w:tc>
        <w:tc>
          <w:tcPr>
            <w:tcW w:type="dxa" w:w="3400"/>
          </w:tcPr>
          <w:p>
            <w:r>
              <w:t>1 per active tenant as needed</w:t>
            </w:r>
          </w:p>
        </w:tc>
      </w:tr>
      <w:tr>
        <w:tc>
          <w:tcPr>
            <w:tcW w:type="dxa" w:w="3400"/>
          </w:tcPr>
          <w:p>
            <w:r>
              <w:t>Platform sponsor</w:t>
            </w:r>
          </w:p>
        </w:tc>
        <w:tc>
          <w:tcPr>
            <w:tcW w:type="dxa" w:w="3400"/>
          </w:tcPr>
          <w:p>
            <w:r>
              <w:t>Part-time</w:t>
            </w:r>
          </w:p>
        </w:tc>
        <w:tc>
          <w:tcPr>
            <w:tcW w:type="dxa" w:w="3400"/>
          </w:tcPr>
          <w:p>
            <w:r>
              <w:t>Part-time per participating platform</w:t>
            </w:r>
          </w:p>
        </w:tc>
      </w:tr>
    </w:tbl>
    <w:p>
      <w:r>
        <w:t>Important resourcing assumption: the selected reference platform must contribute named engineering capacity for the MVP. Without that, the roadmap remains conceptual rather than executable.</w:t>
      </w:r>
    </w:p>
    <w:p>
      <w:pPr>
        <w:pStyle w:val="Heading1"/>
      </w:pPr>
      <w:r>
        <w:t>8. Governance and evidence model</w:t>
      </w:r>
    </w:p>
    <w:p>
      <w:r>
        <w:t>Governance engagement is a continuous parallel track, not a single late-stage approval step.</w:t>
      </w:r>
    </w:p>
    <w:p>
      <w:pPr>
        <w:pStyle w:val="ListBullet"/>
      </w:pPr>
      <w:r>
        <w:t>architecture governance</w:t>
      </w:r>
    </w:p>
    <w:p>
      <w:pPr>
        <w:pStyle w:val="ListBullet"/>
      </w:pPr>
      <w:r>
        <w:t>security</w:t>
      </w:r>
    </w:p>
    <w:p>
      <w:pPr>
        <w:pStyle w:val="ListBullet"/>
      </w:pPr>
      <w:r>
        <w:t>privacy</w:t>
      </w:r>
    </w:p>
    <w:p>
      <w:pPr>
        <w:pStyle w:val="ListBullet"/>
      </w:pPr>
      <w:r>
        <w:t>risk</w:t>
      </w:r>
    </w:p>
    <w:p>
      <w:pPr>
        <w:pStyle w:val="ListBullet"/>
      </w:pPr>
      <w:r>
        <w:t>data governance</w:t>
      </w:r>
    </w:p>
    <w:p>
      <w:pPr>
        <w:pStyle w:val="ListBullet"/>
      </w:pPr>
      <w:r>
        <w:t>change governance</w:t>
      </w:r>
    </w:p>
    <w:p>
      <w:pPr>
        <w:pStyle w:val="ListBullet"/>
      </w:pPr>
      <w:r>
        <w:t>model governance</w:t>
      </w:r>
    </w:p>
    <w:p>
      <w:pPr>
        <w:pStyle w:val="ListBullet"/>
      </w:pPr>
      <w:r>
        <w:t>audit</w:t>
      </w:r>
    </w:p>
    <w:p>
      <w:pPr>
        <w:pStyle w:val="ListBullet"/>
      </w:pPr>
      <w:r>
        <w:t>and other relevant control functions where applicable</w:t>
      </w:r>
    </w:p>
    <w:p>
      <w:r>
        <w:t>Each stage should produce a defined evidence pack to support progression. Depending on the stage, this may include design artefacts, operating evidence, control test results, lineage and audit evidence, privacy and model-risk artefacts, quality baseline evidence, chargeback and observability outputs, and operating runbooks.</w:t>
      </w:r>
    </w:p>
    <w:p>
      <w:r>
        <w:t>Progression is based on exit criteria, evidence sufficiency, and working-group endorsement. There is no automatic progression on elapsed time alone.</w:t>
      </w:r>
    </w:p>
    <w:p>
      <w:pPr>
        <w:pStyle w:val="Heading1"/>
      </w:pPr>
      <w:r>
        <w:t>9. Explicit non-scope</w:t>
      </w:r>
    </w:p>
    <w:p>
      <w:pPr>
        <w:pStyle w:val="ListBullet"/>
      </w:pPr>
      <w:r>
        <w:t>no central vector store</w:t>
      </w:r>
    </w:p>
    <w:p>
      <w:pPr>
        <w:pStyle w:val="ListBullet"/>
      </w:pPr>
      <w:r>
        <w:t>no use-case-controlled embedding model selection</w:t>
      </w:r>
    </w:p>
    <w:p>
      <w:pPr>
        <w:pStyle w:val="ListBullet"/>
      </w:pPr>
      <w:r>
        <w:t>no use-case-specific prompt orchestration inside the service</w:t>
      </w:r>
    </w:p>
    <w:p>
      <w:pPr>
        <w:pStyle w:val="ListBullet"/>
      </w:pPr>
      <w:r>
        <w:t>no bespoke ranking logic inside the shared service</w:t>
      </w:r>
    </w:p>
    <w:p>
      <w:pPr>
        <w:pStyle w:val="ListBullet"/>
      </w:pPr>
      <w:r>
        <w:t>no attempt to build every unstructured capability inside VectorDBaaS itself</w:t>
      </w:r>
    </w:p>
    <w:p>
      <w:pPr>
        <w:pStyle w:val="ListBullet"/>
      </w:pPr>
      <w:r>
        <w:t>no multi-platform rollout in Stage 1</w:t>
      </w:r>
    </w:p>
    <w:p>
      <w:pPr>
        <w:pStyle w:val="ListBullet"/>
      </w:pPr>
      <w:r>
        <w:t>no production chargeback before dry-run evidence exists</w:t>
      </w:r>
    </w:p>
    <w:p>
      <w:pPr>
        <w:pStyle w:val="ListBullet"/>
      </w:pPr>
      <w:r>
        <w:t>no raw vector collection exposure through Fabric</w:t>
      </w:r>
    </w:p>
    <w:p>
      <w:pPr>
        <w:pStyle w:val="ListBullet"/>
      </w:pPr>
      <w:r>
        <w:t>no external commitment to calendar dates at this stage</w:t>
      </w:r>
    </w:p>
    <w:p>
      <w:pPr>
        <w:pStyle w:val="Heading1"/>
      </w:pPr>
      <w:r>
        <w:t>10. Key dependencies and delivery risks</w:t>
      </w:r>
    </w:p>
    <w:p>
      <w:pPr>
        <w:pStyle w:val="Heading2"/>
      </w:pPr>
      <w:r>
        <w:t>Key dependencies</w:t>
      </w:r>
    </w:p>
    <w:p>
      <w:pPr>
        <w:pStyle w:val="ListBullet"/>
      </w:pPr>
      <w:r>
        <w:t>Group AI for approved embedding provision</w:t>
      </w:r>
    </w:p>
    <w:p>
      <w:pPr>
        <w:pStyle w:val="ListBullet"/>
      </w:pPr>
      <w:r>
        <w:t>the first platform sponsor and platform-team capacity</w:t>
      </w:r>
    </w:p>
    <w:p>
      <w:pPr>
        <w:pStyle w:val="ListBullet"/>
      </w:pPr>
      <w:r>
        <w:t>control-function participation in contract and governance design</w:t>
      </w:r>
    </w:p>
    <w:p>
      <w:pPr>
        <w:pStyle w:val="ListBullet"/>
      </w:pPr>
      <w:r>
        <w:t>suitable use cases for validation</w:t>
      </w:r>
    </w:p>
    <w:p>
      <w:pPr>
        <w:pStyle w:val="ListBullet"/>
      </w:pPr>
      <w:r>
        <w:t>later-phase Fabric / catalogue participation</w:t>
      </w:r>
    </w:p>
    <w:p>
      <w:pPr>
        <w:pStyle w:val="ListBullet"/>
      </w:pPr>
      <w:r>
        <w:t>continued funding and resourcing alignment</w:t>
      </w:r>
    </w:p>
    <w:p>
      <w:pPr>
        <w:pStyle w:val="Heading2"/>
      </w:pPr>
      <w:r>
        <w:t>Principal delivery risks</w:t>
      </w:r>
    </w:p>
    <w:p>
      <w:pPr>
        <w:pStyle w:val="ListBullet"/>
      </w:pPr>
      <w:r>
        <w:t>no committed platform capacity for the MVP</w:t>
      </w:r>
    </w:p>
    <w:p>
      <w:pPr>
        <w:pStyle w:val="ListBullet"/>
      </w:pPr>
      <w:r>
        <w:t>poor source-data readiness in the first tenant</w:t>
      </w:r>
    </w:p>
    <w:p>
      <w:pPr>
        <w:pStyle w:val="ListBullet"/>
      </w:pPr>
      <w:r>
        <w:t>embedding model approval or access delays</w:t>
      </w:r>
    </w:p>
    <w:p>
      <w:pPr>
        <w:pStyle w:val="ListBullet"/>
      </w:pPr>
      <w:r>
        <w:t>scope creep into non-service concerns</w:t>
      </w:r>
    </w:p>
    <w:p>
      <w:pPr>
        <w:pStyle w:val="ListBullet"/>
      </w:pPr>
      <w:r>
        <w:t>weak tenant participation in benchmark and quality processes</w:t>
      </w:r>
    </w:p>
    <w:p>
      <w:pPr>
        <w:pStyle w:val="ListBullet"/>
      </w:pPr>
      <w:r>
        <w:t>local platform pressure to diverge from standards</w:t>
      </w:r>
    </w:p>
    <w:p>
      <w:pPr>
        <w:pStyle w:val="ListBullet"/>
      </w:pPr>
      <w:r>
        <w:t>under-funded service operations after build-out</w:t>
      </w:r>
    </w:p>
    <w:p>
      <w:pPr>
        <w:pStyle w:val="Heading1"/>
      </w:pPr>
      <w:r>
        <w:t>11. Relationship to the v2.1 reference design</w:t>
      </w:r>
    </w:p>
    <w:p>
      <w:r>
        <w:t>The v2.1 reference design remains authoritative on target service shape, design principles, governance model, ownership boundaries, and architectural decisions.</w:t>
      </w:r>
    </w:p>
    <w:p>
      <w:r>
        <w:t>This page is authoritative on practical sequencing, mobilisation assumptions, stage-level delivery scope, team shape, explicit non-scope, and evidence-led progression.</w:t>
      </w:r>
    </w:p>
    <w:p>
      <w:r>
        <w:t>Where material changes are made to sequencing here, the corresponding roadmap position in the reference design should be updated in the next revision.</w:t>
      </w:r>
    </w:p>
    <w:p>
      <w:pPr>
        <w:pStyle w:val="Heading1"/>
      </w:pPr>
      <w:r>
        <w:t>12. Summary position</w:t>
      </w:r>
    </w:p>
    <w:p>
      <w:pPr>
        <w:pStyle w:val="ListBullet"/>
      </w:pPr>
      <w:r>
        <w:t>mobilise the service properly</w:t>
      </w:r>
    </w:p>
    <w:p>
      <w:pPr>
        <w:pStyle w:val="ListBullet"/>
      </w:pPr>
      <w:r>
        <w:t>prove it on one platform with one tenant</w:t>
      </w:r>
    </w:p>
    <w:p>
      <w:pPr>
        <w:pStyle w:val="ListBullet"/>
      </w:pPr>
      <w:r>
        <w:t>harden it for several tenants</w:t>
      </w:r>
    </w:p>
    <w:p>
      <w:pPr>
        <w:pStyle w:val="ListBullet"/>
      </w:pPr>
      <w:r>
        <w:t>extend it to additional platforms</w:t>
      </w:r>
    </w:p>
    <w:p>
      <w:pPr>
        <w:pStyle w:val="ListBullet"/>
      </w:pPr>
      <w:r>
        <w:t>then enable Fabric publication</w:t>
      </w:r>
    </w:p>
    <w:p>
      <w:pPr>
        <w:pStyle w:val="ListBullet"/>
      </w:pPr>
      <w:r>
        <w:t>then move to steady-state operation</w:t>
      </w:r>
    </w:p>
    <w:p>
      <w:r>
        <w:t>This is the most realistic route to turning the architecture pattern into a governed shared service without building too much too early.</w:t>
      </w:r>
    </w:p>
    <w:p>
      <w:pPr>
        <w:pStyle w:val="Heading2"/>
      </w:pPr>
      <w:r>
        <w:t>Timeline reminder</w:t>
      </w:r>
    </w:p>
    <w:p>
      <w:r>
        <w:t>No specific timeline is committed at this stage. Stages are sequenced by exit criteria, evidence sufficiency, platform readiness, dependency alignment, working-group endorsement, and funding approval.</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