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left"/>
      </w:pPr>
      <w:r>
        <w:rPr>
          <w:b/>
          <w:color w:val="17365D"/>
          <w:sz w:val="44"/>
        </w:rPr>
        <w:t>Baseline View of Current Unstructured Data Capability Patterns for AI Use Cases</w:t>
      </w:r>
    </w:p>
    <w:p>
      <w:pPr>
        <w:spacing w:before="0" w:after="280" w:line="276" w:lineRule="auto"/>
      </w:pPr>
      <w:r>
        <w:rPr>
          <w:i/>
          <w:color w:val="5B6573"/>
          <w:sz w:val="23"/>
        </w:rPr>
        <w:t>AI for Tech - Unstructured Data for AI workstream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AF1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7365D"/>
              </w:rPr>
              <w:t xml:space="preserve">Document intent: </w:t>
            </w:r>
            <w:r>
              <w:rPr>
                <w:color w:val="1F1F1F"/>
              </w:rPr>
              <w:t>This document provides a current-state baseline of unstructured data capability patterns observed across selected reference use cases. It is a baseline capability paper only; it does not define priority scope, knowledge-domain strategy, or target-state recommendations.</w:t>
            </w:r>
          </w:p>
        </w:tc>
      </w:tr>
    </w:tbl>
    <w:p/>
    <w:p>
      <w:pPr>
        <w:pStyle w:val="Heading1"/>
        <w:spacing w:before="160" w:after="80" w:line="252" w:lineRule="auto"/>
      </w:pPr>
      <w:r>
        <w:t>1. Purpose</w:t>
      </w:r>
    </w:p>
    <w:p>
      <w:pPr>
        <w:spacing w:before="0" w:after="100" w:line="276" w:lineRule="auto"/>
      </w:pPr>
      <w:r>
        <w:t>This document establishes the baseline view of current unstructured and semi-structured data capability patterns relevant to the AI for Tech workstream.</w:t>
      </w:r>
    </w:p>
    <w:p>
      <w:pPr>
        <w:spacing w:before="0" w:after="100" w:line="276" w:lineRule="auto"/>
      </w:pPr>
      <w:r>
        <w:t>Its purpose is to summarise what capability patterns already exist, identify the common themes emerging across current delivery, and highlight the fragmentation that now needs to be addressed through a more coherent enterprise architecture approach.</w:t>
      </w:r>
    </w:p>
    <w:p>
      <w:pPr>
        <w:pStyle w:val="Heading1"/>
        <w:spacing w:before="160" w:after="80" w:line="252" w:lineRule="auto"/>
      </w:pPr>
      <w:r>
        <w:t>2. Scope and Reference Use Cases</w:t>
      </w:r>
    </w:p>
    <w:p>
      <w:pPr>
        <w:spacing w:before="0" w:after="80" w:line="276" w:lineRule="auto"/>
      </w:pPr>
      <w:r>
        <w:t>The baseline is informed by three reference use cases that together represent distinct current delivery patterns across the bank:</w:t>
      </w:r>
    </w:p>
    <w:p>
      <w:pPr>
        <w:pStyle w:val="ListBullet"/>
        <w:spacing w:before="0" w:after="40" w:line="264" w:lineRule="auto"/>
      </w:pPr>
      <w:r>
        <w:t>Codifying the Bank - document-centric AI processing and retrieval.</w:t>
      </w:r>
    </w:p>
    <w:p>
      <w:pPr>
        <w:pStyle w:val="ListBullet"/>
        <w:spacing w:before="0" w:after="40" w:line="264" w:lineRule="auto"/>
      </w:pPr>
      <w:r>
        <w:t>Customer Journey / Voice AI - audio- and conversational-data processing.</w:t>
      </w:r>
    </w:p>
    <w:p>
      <w:pPr>
        <w:pStyle w:val="ListBullet"/>
        <w:spacing w:before="0" w:after="40" w:line="264" w:lineRule="auto"/>
      </w:pPr>
      <w:r>
        <w:t>Knowledge Management System - application-led managed-content retrieval and AI interaction.</w:t>
      </w:r>
    </w:p>
    <w:p>
      <w:pPr>
        <w:spacing w:before="0" w:after="100" w:line="276" w:lineRule="auto"/>
      </w:pPr>
      <w:r>
        <w:t>These use cases are being used as reference implementation patterns only. They are not presented as final strategic architectures; they are used to provide practical evidence of current capability patterns already in flight.</w:t>
      </w:r>
    </w:p>
    <w:p>
      <w:pPr>
        <w:pStyle w:val="Heading1"/>
        <w:spacing w:before="160" w:after="80" w:line="252" w:lineRule="auto"/>
      </w:pPr>
      <w:r>
        <w:t>3. Why These Reference Use Cases Were Selected</w:t>
      </w:r>
    </w:p>
    <w:p>
      <w:pPr>
        <w:spacing w:before="0" w:after="80" w:line="276" w:lineRule="auto"/>
      </w:pPr>
      <w:r>
        <w:t>The three use cases were selected because, taken together, they provide broad coverage of the main unstructured data patterns currently relevant to the workstream:</w:t>
      </w:r>
    </w:p>
    <w:p>
      <w:pPr>
        <w:pStyle w:val="ListBullet"/>
        <w:spacing w:before="0" w:after="40" w:line="264" w:lineRule="auto"/>
      </w:pPr>
      <w:r>
        <w:t>Codifying the Bank demonstrates a strong document-led pattern including ingestion, content preparation, graph, vector, and retrieval.</w:t>
      </w:r>
    </w:p>
    <w:p>
      <w:pPr>
        <w:pStyle w:val="ListBullet"/>
        <w:spacing w:before="0" w:after="40" w:line="264" w:lineRule="auto"/>
      </w:pPr>
      <w:r>
        <w:t>Customer Journey / Voice AI demonstrates that the workstream must support more than document pipelines by including audio, transcripts, chat, and downstream analytical serving.</w:t>
      </w:r>
    </w:p>
    <w:p>
      <w:pPr>
        <w:pStyle w:val="ListBullet"/>
        <w:spacing w:before="0" w:after="40" w:line="264" w:lineRule="auto"/>
      </w:pPr>
      <w:r>
        <w:t>Knowledge Management System demonstrates an application-led managed-content pattern with access control, retrieval, caching, and AI guardrails.</w:t>
      </w:r>
    </w:p>
    <w:p>
      <w:pPr>
        <w:spacing w:before="0" w:after="120" w:line="276" w:lineRule="auto"/>
      </w:pPr>
      <w:r>
        <w:t>Together, these references provide a credible baseline for current-state capability assessment across document, multimodal, and managed-content scenarios.</w:t>
      </w:r>
    </w:p>
    <w:p>
      <w:pPr>
        <w:pStyle w:val="Heading1"/>
        <w:spacing w:before="160" w:after="80" w:line="252" w:lineRule="auto"/>
      </w:pPr>
      <w:r>
        <w:t>4. Current Reference Patterns</w:t>
      </w:r>
    </w:p>
    <w:p>
      <w:pPr>
        <w:pStyle w:val="Heading2"/>
        <w:spacing w:before="80" w:after="80" w:line="252" w:lineRule="auto"/>
      </w:pPr>
      <w:r>
        <w:t>4.1 Codifying the Bank</w:t>
      </w:r>
    </w:p>
    <w:p>
      <w:pPr>
        <w:spacing w:before="0" w:after="80" w:line="276" w:lineRule="auto"/>
      </w:pPr>
      <w:r>
        <w:t>This use case demonstrates a document-centric unstructured data pattern.</w:t>
      </w:r>
    </w:p>
    <w:p>
      <w:pPr>
        <w:spacing w:before="0" w:after="80" w:line="276" w:lineRule="auto"/>
      </w:pPr>
      <w:r>
        <w:t>The current architecture includes document ingestion, canonicalisation, chunking, workflow orchestration, knowledge graph build, embedding generation, vector storage, retrieval APIs, and supporting metadata, lineage, audit, and access-control elements.</w:t>
      </w:r>
    </w:p>
    <w:p>
      <w:pPr>
        <w:spacing w:before="0" w:after="100" w:line="276" w:lineRule="auto"/>
      </w:pPr>
      <w:r>
        <w:rPr>
          <w:b/>
          <w:color w:val="17365D"/>
        </w:rPr>
        <w:t>Baseline significance: strong reference pattern for trusted document processing, retrieval, and relationship-aware knowledge extraction.</w:t>
      </w:r>
    </w:p>
    <w:p>
      <w:pPr>
        <w:pStyle w:val="Heading2"/>
        <w:spacing w:before="80" w:after="80" w:line="252" w:lineRule="auto"/>
      </w:pPr>
      <w:r>
        <w:t>4.2 Customer Journey / Voice AI</w:t>
      </w:r>
    </w:p>
    <w:p>
      <w:pPr>
        <w:spacing w:before="0" w:after="80" w:line="276" w:lineRule="auto"/>
      </w:pPr>
      <w:r>
        <w:t>This use case demonstrates an audio- and conversational-data pattern.</w:t>
      </w:r>
    </w:p>
    <w:p>
      <w:pPr>
        <w:spacing w:before="0" w:after="80" w:line="276" w:lineRule="auto"/>
      </w:pPr>
      <w:r>
        <w:t>The current architecture includes ingestion of call and chat data, raw landing into cloud storage, transcription and ML-driven transformation, storage into analytical and operational platforms, and downstream serving through APIs and data-consumption layers.</w:t>
      </w:r>
    </w:p>
    <w:p>
      <w:pPr>
        <w:spacing w:before="0" w:after="100" w:line="276" w:lineRule="auto"/>
      </w:pPr>
      <w:r>
        <w:rPr>
          <w:b/>
          <w:color w:val="17365D"/>
        </w:rPr>
        <w:t>Baseline significance: strong reference pattern for multimodal processing where audio, transcripts, and conversational data must be transformed into AI-ready outputs.</w:t>
      </w:r>
    </w:p>
    <w:p>
      <w:pPr>
        <w:pStyle w:val="Heading2"/>
        <w:spacing w:before="80" w:after="80" w:line="252" w:lineRule="auto"/>
      </w:pPr>
      <w:r>
        <w:t>4.3 Knowledge Management System</w:t>
      </w:r>
    </w:p>
    <w:p>
      <w:pPr>
        <w:spacing w:before="0" w:after="80" w:line="276" w:lineRule="auto"/>
      </w:pPr>
      <w:r>
        <w:t>This use case demonstrates an application-led managed-content retrieval pattern.</w:t>
      </w:r>
    </w:p>
    <w:p>
      <w:pPr>
        <w:spacing w:before="0" w:after="80" w:line="276" w:lineRule="auto"/>
      </w:pPr>
      <w:r>
        <w:t>The current architecture includes authenticated user access, content management services, blob and metadata storage, vector search, caching, and AI guardrails including DLP, sensitive-information checks, content safety, and hallucination controls.</w:t>
      </w:r>
    </w:p>
    <w:p>
      <w:pPr>
        <w:spacing w:before="0" w:after="100" w:line="276" w:lineRule="auto"/>
      </w:pPr>
      <w:r>
        <w:rPr>
          <w:b/>
          <w:color w:val="17365D"/>
        </w:rPr>
        <w:t>Baseline significance: strong reference pattern for managed-content retrieval, enterprise knowledge access, and controlled AI interaction.</w:t>
      </w:r>
    </w:p>
    <w:p>
      <w:pPr>
        <w:pStyle w:val="Heading1"/>
        <w:spacing w:before="160" w:after="80" w:line="252" w:lineRule="auto"/>
      </w:pPr>
      <w:r>
        <w:t>5. Baseline Capability Matrix</w:t>
      </w:r>
    </w:p>
    <w:p>
      <w:pPr>
        <w:spacing w:before="0" w:after="100" w:line="276" w:lineRule="auto"/>
      </w:pPr>
      <w:r>
        <w:t>The matrix below summarises which core capability areas are visibly present across the three reference use cases. Presence in a use case does not imply that the capability is already standardised as an enterprise service.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2592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  <w:sz w:val="19"/>
              </w:rPr>
              <w:t>Capability area</w:t>
            </w:r>
          </w:p>
        </w:tc>
        <w:tc>
          <w:tcPr>
            <w:tcW w:type="dxa" w:w="1152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  <w:sz w:val="19"/>
              </w:rPr>
              <w:t>CTB</w:t>
            </w:r>
          </w:p>
        </w:tc>
        <w:tc>
          <w:tcPr>
            <w:tcW w:type="dxa" w:w="1152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  <w:sz w:val="19"/>
              </w:rPr>
              <w:t>Voice AI</w:t>
            </w:r>
          </w:p>
        </w:tc>
        <w:tc>
          <w:tcPr>
            <w:tcW w:type="dxa" w:w="1152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  <w:sz w:val="19"/>
              </w:rPr>
              <w:t>KMS</w:t>
            </w:r>
          </w:p>
        </w:tc>
        <w:tc>
          <w:tcPr>
            <w:tcW w:type="dxa" w:w="360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  <w:sz w:val="19"/>
              </w:rPr>
              <w:t>Baseline observation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Source ingestion and onboarding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Present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Present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Present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Visible across all three, but implemented differently by use case and platform.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Content preparation / normalisation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Partial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Document and audio transformation patterns exist; managed-content preparation is more application-led.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Chunking / segmentation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Partial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Present in document and KMS patterns; less explicit in voice pattern at enterprise-service level.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Transcription / modality-specific extraction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Not central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Not central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Voice AI broadens the baseline beyond document processing.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Workflow / orchestration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Partial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Execution patterns exist, but not through a common orchestration model.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Metadata handling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Partial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Metadata is present, but the model is not yet aligned consistently.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Vector capability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Partial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Vector patterns exist, but usage and lifecycle management are not yet standardised.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Graph capability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Partial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Not evident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Graph is important in CTB, but not yet a common pattern across all reference cases.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Retrieval / serving APIs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All three show some form of retrieval or downstream-serving interface.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Object / blob storage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Common persistence pattern across all references.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Analytical / relational persistence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Partial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Different storage combinations exist depending on use-case need.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Access control / identity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Partial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Control patterns are visible, but not yet expressed through a single enterprise control model.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AI guardrails and content controls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Partial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Partial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Most explicit in KMS; important signal for bank-grade AI control requirements.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Audit / lineage / observability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Strong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Partial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sz w:val="18"/>
              </w:rPr>
              <w:t>Partial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sz w:val="18"/>
              </w:rPr>
              <w:t>Visible, but uneven across current delivery.</w:t>
            </w:r>
          </w:p>
        </w:tc>
      </w:tr>
    </w:tbl>
    <w:p/>
    <w:p>
      <w:pPr>
        <w:pStyle w:val="Heading1"/>
        <w:spacing w:before="160" w:after="80" w:line="252" w:lineRule="auto"/>
      </w:pPr>
      <w:r>
        <w:t>6. Cross-Use-Case Observations</w:t>
      </w:r>
    </w:p>
    <w:p>
      <w:pPr>
        <w:pStyle w:val="ListBullet"/>
        <w:spacing w:before="0" w:after="40" w:line="264" w:lineRule="auto"/>
      </w:pPr>
      <w:r>
        <w:t>Unstructured data processing is already underway across multiple modalities, including documents, audio, transcripts, chat, and managed content.</w:t>
      </w:r>
    </w:p>
    <w:p>
      <w:pPr>
        <w:pStyle w:val="ListBullet"/>
        <w:spacing w:before="0" w:after="40" w:line="264" w:lineRule="auto"/>
      </w:pPr>
      <w:r>
        <w:t>Relevant capabilities already exist across ingestion, transformation, storage, retrieval, and control, but they have evolved around individual use-case needs.</w:t>
      </w:r>
    </w:p>
    <w:p>
      <w:pPr>
        <w:pStyle w:val="ListBullet"/>
        <w:spacing w:before="0" w:after="40" w:line="264" w:lineRule="auto"/>
      </w:pPr>
      <w:r>
        <w:t>Different persistence models are already in use, including object storage, metadata stores, analytical platforms, vector databases, graph databases, and cache layers.</w:t>
      </w:r>
    </w:p>
    <w:p>
      <w:pPr>
        <w:pStyle w:val="ListBullet"/>
        <w:spacing w:before="0" w:after="40" w:line="264" w:lineRule="auto"/>
      </w:pPr>
      <w:r>
        <w:t>The baseline demonstrates that useful delivery capability exists today; the core architectural challenge is alignment and standardisation rather than absence of activity.</w:t>
      </w:r>
    </w:p>
    <w:p>
      <w:pPr>
        <w:pStyle w:val="Heading1"/>
        <w:spacing w:before="160" w:after="80" w:line="252" w:lineRule="auto"/>
      </w:pPr>
      <w:r>
        <w:t>7. Governance and Control Observations</w:t>
      </w:r>
    </w:p>
    <w:p>
      <w:pPr>
        <w:spacing w:before="0" w:after="80" w:line="276" w:lineRule="auto"/>
      </w:pPr>
      <w:r>
        <w:t>Because this workstream operates in a bank context, the baseline must be considered through a control lens as well as a technical lens. The reference use cases already indicate the importance of:</w:t>
      </w:r>
    </w:p>
    <w:p>
      <w:pPr>
        <w:pStyle w:val="ListBullet"/>
        <w:spacing w:before="0" w:after="40" w:line="264" w:lineRule="auto"/>
      </w:pPr>
      <w:r>
        <w:t>access inheritance and identity-aware retrieval</w:t>
      </w:r>
    </w:p>
    <w:p>
      <w:pPr>
        <w:pStyle w:val="ListBullet"/>
        <w:spacing w:before="0" w:after="40" w:line="264" w:lineRule="auto"/>
      </w:pPr>
      <w:r>
        <w:t>metadata, lineage, and auditability</w:t>
      </w:r>
    </w:p>
    <w:p>
      <w:pPr>
        <w:pStyle w:val="ListBullet"/>
        <w:spacing w:before="0" w:after="40" w:line="264" w:lineRule="auto"/>
      </w:pPr>
      <w:r>
        <w:t>DLP and sensitive-information controls</w:t>
      </w:r>
    </w:p>
    <w:p>
      <w:pPr>
        <w:pStyle w:val="ListBullet"/>
        <w:spacing w:before="0" w:after="40" w:line="264" w:lineRule="auto"/>
      </w:pPr>
      <w:r>
        <w:t>content safety and hallucination guardrails</w:t>
      </w:r>
    </w:p>
    <w:p>
      <w:pPr>
        <w:pStyle w:val="ListBullet"/>
        <w:spacing w:before="0" w:after="40" w:line="264" w:lineRule="auto"/>
      </w:pPr>
      <w:r>
        <w:t>policy-aligned handling of managed and regulated content</w:t>
      </w:r>
    </w:p>
    <w:p>
      <w:pPr>
        <w:pStyle w:val="ListBullet"/>
        <w:spacing w:before="0" w:after="40" w:line="264" w:lineRule="auto"/>
      </w:pPr>
      <w:r>
        <w:t>clear separation between use-case logic and shared control services</w:t>
      </w:r>
    </w:p>
    <w:p>
      <w:pPr>
        <w:spacing w:before="0" w:after="100" w:line="276" w:lineRule="auto"/>
      </w:pPr>
      <w:r>
        <w:t>These controls are visible across current delivery, but not yet expressed through a single coherent enterprise pattern for unstructured data.</w:t>
      </w:r>
    </w:p>
    <w:p>
      <w:pPr>
        <w:pStyle w:val="Heading1"/>
        <w:spacing w:before="160" w:after="80" w:line="252" w:lineRule="auto"/>
      </w:pPr>
      <w:r>
        <w:t>8. Current Fragmentation and Architectural Gaps</w:t>
      </w:r>
    </w:p>
    <w:p>
      <w:pPr>
        <w:pStyle w:val="ListBullet"/>
        <w:spacing w:before="0" w:after="40" w:line="264" w:lineRule="auto"/>
      </w:pPr>
      <w:r>
        <w:t>No single enterprise model yet exists for unstructured data onboarding and ingestion.</w:t>
      </w:r>
    </w:p>
    <w:p>
      <w:pPr>
        <w:pStyle w:val="ListBullet"/>
        <w:spacing w:before="0" w:after="40" w:line="264" w:lineRule="auto"/>
      </w:pPr>
      <w:r>
        <w:t>Patterns differ across document-led, audio/chat-led, and application-led content solutions.</w:t>
      </w:r>
    </w:p>
    <w:p>
      <w:pPr>
        <w:pStyle w:val="ListBullet"/>
        <w:spacing w:before="0" w:after="40" w:line="264" w:lineRule="auto"/>
      </w:pPr>
      <w:r>
        <w:t>Content preparation, chunking, embedding, and retrieval patterns are not yet standardised as shared services.</w:t>
      </w:r>
    </w:p>
    <w:p>
      <w:pPr>
        <w:pStyle w:val="ListBullet"/>
        <w:spacing w:before="0" w:after="40" w:line="264" w:lineRule="auto"/>
      </w:pPr>
      <w:r>
        <w:t>Metadata, lineage, and governance handling are uneven across the current landscape.</w:t>
      </w:r>
    </w:p>
    <w:p>
      <w:pPr>
        <w:pStyle w:val="ListBullet"/>
        <w:spacing w:before="0" w:after="40" w:line="264" w:lineRule="auto"/>
      </w:pPr>
      <w:r>
        <w:t>Decision rules for use of object, analytical, vector, graph, and cache storage are not yet clearly defined at enterprise level.</w:t>
      </w:r>
    </w:p>
    <w:p>
      <w:pPr>
        <w:pStyle w:val="ListBullet"/>
        <w:spacing w:before="0" w:after="40" w:line="264" w:lineRule="auto"/>
      </w:pPr>
      <w:r>
        <w:t>Integration of unstructured data capabilities into the broader data fabric direction remains immature.</w:t>
      </w:r>
    </w:p>
    <w:p>
      <w:pPr>
        <w:spacing w:before="0" w:after="120" w:line="276" w:lineRule="auto"/>
      </w:pPr>
      <w:r>
        <w:t>Taken together, these gaps indicate that multiple useful implementations already exist, but they do not yet form a coherent enterprise capability model for unstructured data.</w:t>
      </w:r>
    </w:p>
    <w:p>
      <w:pPr>
        <w:pStyle w:val="Heading1"/>
        <w:spacing w:before="160" w:after="80" w:line="252" w:lineRule="auto"/>
      </w:pPr>
      <w:r>
        <w:t>9. Baseline Summary</w:t>
      </w:r>
    </w:p>
    <w:p>
      <w:pPr>
        <w:spacing w:before="0" w:after="100" w:line="276" w:lineRule="auto"/>
      </w:pPr>
      <w:r>
        <w:t>The current baseline shows that the bank already has credible reference implementation patterns for document-centric processing, audio and conversational-data processing, and application-led managed-content retrieval.</w:t>
      </w:r>
    </w:p>
    <w:p>
      <w:pPr>
        <w:spacing w:before="0" w:after="100" w:line="276" w:lineRule="auto"/>
      </w:pPr>
      <w:r>
        <w:t>It also shows that core capabilities are present across ingestion, transformation, storage, retrieval, and control. However, these capabilities have developed in a use-case-led manner and are not yet aligned to a common enterprise model.</w:t>
      </w:r>
    </w:p>
    <w:p>
      <w:pPr>
        <w:spacing w:before="0" w:after="100" w:line="276" w:lineRule="auto"/>
      </w:pPr>
      <w:r>
        <w:t>This baseline therefore provides the current-state capability view needed to support subsequent prioritisation, reference architecture development, and structured gap assessment within the AI for Tech workstream.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0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0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