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901" w:leader="none"/>
          <w:tab w:val="left" w:pos="1902" w:leader="none"/>
        </w:tabs>
        <w:spacing w:before="134" w:after="0" w:line="240"/>
        <w:ind w:right="-63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Project Report </w:t>
      </w:r>
    </w:p>
    <w:p>
      <w:pPr>
        <w:tabs>
          <w:tab w:val="left" w:pos="1901" w:leader="none"/>
          <w:tab w:val="left" w:pos="1902" w:leader="none"/>
        </w:tabs>
        <w:spacing w:before="134" w:after="0" w:line="240"/>
        <w:ind w:right="-630" w:left="0" w:firstLine="0"/>
        <w:jc w:val="center"/>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PLUGGING INTO THE FUTURE: AN EXPLORATION OF ELECTRICAL CONSUMPTION PATTERNS</w:t>
      </w:r>
    </w:p>
    <w:p>
      <w:pPr>
        <w:tabs>
          <w:tab w:val="left" w:pos="1901" w:leader="none"/>
          <w:tab w:val="left" w:pos="1902" w:leader="none"/>
        </w:tabs>
        <w:spacing w:before="134" w:after="0" w:line="240"/>
        <w:ind w:right="-63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tabs>
          <w:tab w:val="left" w:pos="1901" w:leader="none"/>
          <w:tab w:val="left" w:pos="1902" w:leader="none"/>
        </w:tabs>
        <w:spacing w:before="149" w:after="0" w:line="240"/>
        <w:ind w:right="-63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004DBB"/>
          <w:spacing w:val="0"/>
          <w:position w:val="0"/>
          <w:sz w:val="28"/>
          <w:shd w:fill="auto" w:val="clear"/>
        </w:rPr>
        <w:t xml:space="preserve">Overview</w:t>
      </w:r>
    </w:p>
    <w:p>
      <w:pPr>
        <w:tabs>
          <w:tab w:val="left" w:pos="1901" w:leader="none"/>
          <w:tab w:val="left" w:pos="1902" w:leader="none"/>
          <w:tab w:val="left" w:pos="9000" w:leader="none"/>
          <w:tab w:val="left" w:pos="9090" w:leader="none"/>
          <w:tab w:val="left" w:pos="9180" w:leader="none"/>
          <w:tab w:val="left" w:pos="9450" w:leader="none"/>
        </w:tabs>
        <w:spacing w:before="146" w:after="0" w:line="276"/>
        <w:ind w:right="-99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 the total electricity generation in the country was 1,598 TWh, of which 1,383.5 TWh generated by utilities. The gross electricity consumption per capita in FY2019 was 1,208 kWh.</w:t>
      </w:r>
    </w:p>
    <w:p>
      <w:pPr>
        <w:tabs>
          <w:tab w:val="left" w:pos="1901" w:leader="none"/>
          <w:tab w:val="left" w:pos="1902" w:leader="none"/>
          <w:tab w:val="left" w:pos="9000" w:leader="none"/>
          <w:tab w:val="left" w:pos="9090" w:leader="none"/>
          <w:tab w:val="left" w:pos="9180" w:leader="none"/>
          <w:tab w:val="left" w:pos="9450" w:leader="none"/>
        </w:tabs>
        <w:spacing w:before="146" w:after="0" w:line="276"/>
        <w:ind w:right="-99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2015-16, electric energy consumption in agriculture was recorded as being the highest (17.89%) worldwide. The per capita electricity consumption is low compared to most other countries despite India having a low electricity tariff.</w:t>
      </w:r>
    </w:p>
    <w:p>
      <w:pPr>
        <w:tabs>
          <w:tab w:val="left" w:pos="1901" w:leader="none"/>
          <w:tab w:val="left" w:pos="1902" w:leader="none"/>
          <w:tab w:val="left" w:pos="9000" w:leader="none"/>
          <w:tab w:val="left" w:pos="9090" w:leader="none"/>
          <w:tab w:val="left" w:pos="9180" w:leader="none"/>
          <w:tab w:val="left" w:pos="9450" w:leader="none"/>
        </w:tabs>
        <w:spacing w:before="146" w:after="0" w:line="276"/>
        <w:ind w:right="-99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light of the recent COVID-19 situation, when everyone has been under lockdown for the months of March to June the impacts of the lockdown on economic activities have been faced by every sector in a positive or a negative way.</w:t>
      </w:r>
    </w:p>
    <w:p>
      <w:pPr>
        <w:tabs>
          <w:tab w:val="left" w:pos="1901" w:leader="none"/>
          <w:tab w:val="left" w:pos="1902" w:leader="none"/>
          <w:tab w:val="left" w:pos="9000" w:leader="none"/>
          <w:tab w:val="left" w:pos="9090" w:leader="none"/>
          <w:tab w:val="left" w:pos="9180" w:leader="none"/>
          <w:tab w:val="left" w:pos="9450" w:leader="none"/>
        </w:tabs>
        <w:spacing w:before="146" w:after="0" w:line="276"/>
        <w:ind w:right="-99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is exhaustive in its demonstration of energy consumption state wise.</w:t>
      </w:r>
    </w:p>
    <w:p>
      <w:pPr>
        <w:tabs>
          <w:tab w:val="left" w:pos="1901" w:leader="none"/>
          <w:tab w:val="left" w:pos="1902" w:leader="none"/>
          <w:tab w:val="left" w:pos="9000" w:leader="none"/>
          <w:tab w:val="left" w:pos="9090" w:leader="none"/>
          <w:tab w:val="left" w:pos="9180" w:leader="none"/>
          <w:tab w:val="left" w:pos="9450" w:leader="none"/>
        </w:tabs>
        <w:spacing w:before="146" w:after="0" w:line="276"/>
        <w:ind w:right="-99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Analysing Electricity Consumption in India from Jan 2019 till 5th December 2020. This dataset contains a record of Electricity consumption in each states of India, here we are going to analyse State wise , Region wise and Overall Electricity consumption in India</w:t>
      </w:r>
    </w:p>
    <w:p>
      <w:pPr>
        <w:tabs>
          <w:tab w:val="left" w:pos="1901" w:leader="none"/>
          <w:tab w:val="left" w:pos="1902" w:leader="none"/>
        </w:tabs>
        <w:spacing w:before="147"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Definition</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 Design</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Thinking</w:t>
      </w:r>
    </w:p>
    <w:p>
      <w:pPr>
        <w:tabs>
          <w:tab w:val="left" w:pos="2366" w:leader="none"/>
        </w:tabs>
        <w:spacing w:before="129"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Empathy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Map</w:t>
      </w:r>
    </w:p>
    <w:p>
      <w:pPr>
        <w:spacing w:before="149" w:after="0" w:line="240"/>
        <w:ind w:right="0" w:left="360" w:firstLine="0"/>
        <w:jc w:val="left"/>
        <w:rPr>
          <w:rFonts w:ascii="Times New Roman" w:hAnsi="Times New Roman" w:cs="Times New Roman" w:eastAsia="Times New Roman"/>
          <w:color w:val="auto"/>
          <w:spacing w:val="0"/>
          <w:position w:val="0"/>
          <w:sz w:val="24"/>
          <w:shd w:fill="auto" w:val="clear"/>
        </w:rPr>
      </w:pPr>
      <w:r>
        <w:object w:dxaOrig="7613" w:dyaOrig="4920">
          <v:rect xmlns:o="urn:schemas-microsoft-com:office:office" xmlns:v="urn:schemas-microsoft-com:vml" id="rectole0000000000" style="width:380.6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2366" w:leader="none"/>
        </w:tabs>
        <w:spacing w:before="144" w:after="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Ideation</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Brainstorming</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Map</w:t>
      </w:r>
    </w:p>
    <w:p>
      <w:pPr>
        <w:tabs>
          <w:tab w:val="left" w:pos="1901" w:leader="none"/>
          <w:tab w:val="left" w:pos="1902" w:leader="none"/>
        </w:tabs>
        <w:spacing w:before="148" w:after="0" w:line="240"/>
        <w:ind w:right="0" w:left="0" w:firstLine="0"/>
        <w:jc w:val="center"/>
        <w:rPr>
          <w:rFonts w:ascii="Calibri" w:hAnsi="Calibri" w:cs="Calibri" w:eastAsia="Calibri"/>
          <w:color w:val="auto"/>
          <w:spacing w:val="0"/>
          <w:position w:val="0"/>
          <w:sz w:val="24"/>
          <w:shd w:fill="auto" w:val="clear"/>
        </w:rPr>
      </w:pPr>
      <w:r>
        <w:object w:dxaOrig="7634" w:dyaOrig="3569">
          <v:rect xmlns:o="urn:schemas-microsoft-com:office:office" xmlns:v="urn:schemas-microsoft-com:vml" id="rectole0000000001" style="width:381.700000pt;height:17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901" w:leader="none"/>
          <w:tab w:val="left" w:pos="1902" w:leader="none"/>
        </w:tabs>
        <w:spacing w:before="148" w:after="0" w:line="240"/>
        <w:ind w:right="0" w:left="0" w:firstLine="0"/>
        <w:jc w:val="left"/>
        <w:rPr>
          <w:rFonts w:ascii="Calibri" w:hAnsi="Calibri" w:cs="Calibri" w:eastAsia="Calibri"/>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RESULT</w:t>
      </w:r>
    </w:p>
    <w:p>
      <w:pPr>
        <w:spacing w:before="144" w:after="0" w:line="240"/>
        <w:ind w:right="0" w:left="90" w:firstLine="0"/>
        <w:jc w:val="left"/>
        <w:rPr>
          <w:rFonts w:ascii="Calibri" w:hAnsi="Calibri" w:cs="Calibri" w:eastAsia="Calibri"/>
          <w:color w:val="auto"/>
          <w:spacing w:val="0"/>
          <w:position w:val="0"/>
          <w:sz w:val="24"/>
          <w:shd w:fill="auto" w:val="clear"/>
        </w:rPr>
      </w:pPr>
      <w:r>
        <w:object w:dxaOrig="8747" w:dyaOrig="4920">
          <v:rect xmlns:o="urn:schemas-microsoft-com:office:office" xmlns:v="urn:schemas-microsoft-com:vml" id="rectole0000000002" style="width:437.350000pt;height:24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44" w:after="0" w:line="240"/>
        <w:ind w:right="0" w:left="90" w:firstLine="0"/>
        <w:jc w:val="left"/>
        <w:rPr>
          <w:rFonts w:ascii="Calibri" w:hAnsi="Calibri" w:cs="Calibri" w:eastAsia="Calibri"/>
          <w:color w:val="auto"/>
          <w:spacing w:val="0"/>
          <w:position w:val="0"/>
          <w:sz w:val="24"/>
          <w:shd w:fill="auto" w:val="clear"/>
        </w:rPr>
      </w:pPr>
    </w:p>
    <w:p>
      <w:pPr>
        <w:spacing w:before="144" w:after="0" w:line="240"/>
        <w:ind w:right="0" w:left="90" w:firstLine="0"/>
        <w:jc w:val="left"/>
        <w:rPr>
          <w:rFonts w:ascii="Calibri" w:hAnsi="Calibri" w:cs="Calibri" w:eastAsia="Calibri"/>
          <w:color w:val="auto"/>
          <w:spacing w:val="0"/>
          <w:position w:val="0"/>
          <w:sz w:val="24"/>
          <w:shd w:fill="auto" w:val="clear"/>
        </w:rPr>
      </w:pPr>
      <w:r>
        <w:object w:dxaOrig="8747" w:dyaOrig="4920">
          <v:rect xmlns:o="urn:schemas-microsoft-com:office:office" xmlns:v="urn:schemas-microsoft-com:vml" id="rectole0000000003" style="width:437.350000pt;height:24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44" w:after="0" w:line="240"/>
        <w:ind w:right="0" w:left="90" w:firstLine="0"/>
        <w:jc w:val="left"/>
        <w:rPr>
          <w:rFonts w:ascii="Calibri" w:hAnsi="Calibri" w:cs="Calibri" w:eastAsia="Calibri"/>
          <w:color w:val="auto"/>
          <w:spacing w:val="0"/>
          <w:position w:val="0"/>
          <w:sz w:val="24"/>
          <w:shd w:fill="auto" w:val="clear"/>
        </w:rPr>
      </w:pPr>
    </w:p>
    <w:p>
      <w:pPr>
        <w:spacing w:before="144" w:after="0" w:line="240"/>
        <w:ind w:right="0" w:left="90" w:firstLine="0"/>
        <w:jc w:val="left"/>
        <w:rPr>
          <w:rFonts w:ascii="Calibri" w:hAnsi="Calibri" w:cs="Calibri" w:eastAsia="Calibri"/>
          <w:color w:val="auto"/>
          <w:spacing w:val="0"/>
          <w:position w:val="0"/>
          <w:sz w:val="24"/>
          <w:shd w:fill="auto" w:val="clear"/>
        </w:rPr>
      </w:pPr>
      <w:r>
        <w:object w:dxaOrig="8747" w:dyaOrig="4920">
          <v:rect xmlns:o="urn:schemas-microsoft-com:office:office" xmlns:v="urn:schemas-microsoft-com:vml" id="rectole0000000004" style="width:437.350000pt;height:24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44" w:after="0" w:line="240"/>
        <w:ind w:right="0" w:left="90" w:firstLine="0"/>
        <w:jc w:val="left"/>
        <w:rPr>
          <w:rFonts w:ascii="Calibri" w:hAnsi="Calibri" w:cs="Calibri" w:eastAsia="Calibri"/>
          <w:color w:val="auto"/>
          <w:spacing w:val="0"/>
          <w:position w:val="0"/>
          <w:sz w:val="24"/>
          <w:shd w:fill="auto" w:val="clear"/>
        </w:rPr>
      </w:pPr>
    </w:p>
    <w:p>
      <w:pPr>
        <w:spacing w:before="144" w:after="0" w:line="240"/>
        <w:ind w:right="0" w:left="90" w:firstLine="0"/>
        <w:jc w:val="left"/>
        <w:rPr>
          <w:rFonts w:ascii="Calibri" w:hAnsi="Calibri" w:cs="Calibri" w:eastAsia="Calibri"/>
          <w:color w:val="auto"/>
          <w:spacing w:val="0"/>
          <w:position w:val="0"/>
          <w:sz w:val="24"/>
          <w:shd w:fill="auto" w:val="clear"/>
        </w:rPr>
      </w:pPr>
      <w:r>
        <w:object w:dxaOrig="8747" w:dyaOrig="4920">
          <v:rect xmlns:o="urn:schemas-microsoft-com:office:office" xmlns:v="urn:schemas-microsoft-com:vml" id="rectole0000000005" style="width:437.35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44" w:after="0" w:line="240"/>
        <w:ind w:right="0" w:left="90" w:firstLine="0"/>
        <w:jc w:val="left"/>
        <w:rPr>
          <w:rFonts w:ascii="Calibri" w:hAnsi="Calibri" w:cs="Calibri" w:eastAsia="Calibri"/>
          <w:color w:val="auto"/>
          <w:spacing w:val="0"/>
          <w:position w:val="0"/>
          <w:sz w:val="24"/>
          <w:shd w:fill="auto" w:val="clear"/>
        </w:rPr>
      </w:pPr>
    </w:p>
    <w:p>
      <w:pPr>
        <w:spacing w:before="144" w:after="0" w:line="276"/>
        <w:ind w:right="-36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ADVANTAGES</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DISADVANTAGES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Advantages: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1.Energy Savings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Perhaps the most obvious benefit of a commercial energy consumption analysis lies in its potential to protect your bottom line. By analyzing    region energy from the inside out, using the latest technologies and innovative solutions, a comprehensive energy analysis can significantly reduce utility bills.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Operational Improvements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addition to reducing energy expenses and protecting against rising energy costs, an energy consumption analysis can also result in operational benefits.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Brand Values</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Beyond monetary savings and operational improvements, “green” buildings with energy efficient practices can help to improve brand recognition and customer/employee loyalty. The intangible benefits of a sustainable business image can also improve indoor air quality, ultimately improving building occupant comfort levels and productivity.</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Disadvantage:</w:t>
      </w:r>
    </w:p>
    <w:p>
      <w:pPr>
        <w:spacing w:before="144" w:after="0" w:line="276"/>
        <w:ind w:right="-36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Analysing electrical consumption may results in shortage of energy which ultimately affects the bottom line people.</w:t>
      </w:r>
    </w:p>
    <w:p>
      <w:pPr>
        <w:spacing w:before="148"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APPLICATIONS</w:t>
      </w:r>
    </w:p>
    <w:p>
      <w:pPr>
        <w:numPr>
          <w:ilvl w:val="0"/>
          <w:numId w:val="13"/>
        </w:numPr>
        <w:spacing w:before="151" w:after="0" w:line="276"/>
        <w:ind w:right="0" w:left="2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providing access to electricity, the analysis can help to improve the quality of life for people living in areas without access to electricity, including providing access to lighting, heating, and cooling, and powering essential services such as hospitals and schools..</w:t>
      </w:r>
    </w:p>
    <w:p>
      <w:pPr>
        <w:tabs>
          <w:tab w:val="left" w:pos="1901" w:leader="none"/>
          <w:tab w:val="left" w:pos="1902" w:leader="none"/>
        </w:tabs>
        <w:spacing w:before="151"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CONCLUSION</w:t>
      </w:r>
    </w:p>
    <w:p>
      <w:pPr>
        <w:tabs>
          <w:tab w:val="left" w:pos="1901" w:leader="none"/>
          <w:tab w:val="left" w:pos="1902" w:leader="none"/>
        </w:tabs>
        <w:spacing w:before="149"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Electricity Consumption States.</w:t>
      </w:r>
    </w:p>
    <w:p>
      <w:pPr>
        <w:numPr>
          <w:ilvl w:val="0"/>
          <w:numId w:val="16"/>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Maharashtra is the Highest Electricity consumption user of India.</w:t>
      </w:r>
    </w:p>
    <w:p>
      <w:pPr>
        <w:numPr>
          <w:ilvl w:val="0"/>
          <w:numId w:val="16"/>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Gujarat is the Second Highest Electricity consumption user of India.</w:t>
      </w:r>
    </w:p>
    <w:p>
      <w:pPr>
        <w:numPr>
          <w:ilvl w:val="0"/>
          <w:numId w:val="16"/>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Sikkim is the Lowest Electricity Consumption user of India .</w:t>
      </w:r>
    </w:p>
    <w:p>
      <w:pPr>
        <w:numPr>
          <w:ilvl w:val="0"/>
          <w:numId w:val="16"/>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before and during Lockdown in India</w:t>
      </w:r>
    </w:p>
    <w:p>
      <w:pPr>
        <w:numPr>
          <w:ilvl w:val="0"/>
          <w:numId w:val="16"/>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was more in 2019 in month of March-June before</w:t>
      </w:r>
    </w:p>
    <w:p>
      <w:pPr>
        <w:tabs>
          <w:tab w:val="left" w:pos="1901" w:leader="none"/>
          <w:tab w:val="left" w:pos="1902" w:leader="none"/>
        </w:tabs>
        <w:spacing w:before="149"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Lockdown</w:t>
      </w:r>
    </w:p>
    <w:p>
      <w:pPr>
        <w:numPr>
          <w:ilvl w:val="0"/>
          <w:numId w:val="18"/>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was less in 2020 in month of March-June during the Lockdown</w:t>
      </w:r>
    </w:p>
    <w:p>
      <w:pPr>
        <w:tabs>
          <w:tab w:val="left" w:pos="1901" w:leader="none"/>
          <w:tab w:val="left" w:pos="1902" w:leader="none"/>
        </w:tabs>
        <w:spacing w:before="149"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Electricity Consumption in Quarters</w:t>
      </w:r>
    </w:p>
    <w:p>
      <w:pPr>
        <w:numPr>
          <w:ilvl w:val="0"/>
          <w:numId w:val="20"/>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2019 for Quarter 3 was Highest.</w:t>
      </w:r>
    </w:p>
    <w:p>
      <w:pPr>
        <w:numPr>
          <w:ilvl w:val="0"/>
          <w:numId w:val="20"/>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2019 for Quarter 1 was Lowest.</w:t>
      </w:r>
    </w:p>
    <w:p>
      <w:pPr>
        <w:numPr>
          <w:ilvl w:val="0"/>
          <w:numId w:val="20"/>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2020 for Quarter 3 was Lowest.</w:t>
      </w:r>
    </w:p>
    <w:p>
      <w:pPr>
        <w:numPr>
          <w:ilvl w:val="0"/>
          <w:numId w:val="20"/>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2020 for Quarter 1 was Highest.</w:t>
      </w:r>
    </w:p>
    <w:p>
      <w:pPr>
        <w:tabs>
          <w:tab w:val="left" w:pos="1901" w:leader="none"/>
          <w:tab w:val="left" w:pos="1902" w:leader="none"/>
        </w:tabs>
        <w:spacing w:before="149"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Electricity Consumption in Regions</w:t>
      </w:r>
    </w:p>
    <w:p>
      <w:pPr>
        <w:numPr>
          <w:ilvl w:val="0"/>
          <w:numId w:val="22"/>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Total Electricity consumption in Western Region is Highest.</w:t>
      </w:r>
    </w:p>
    <w:p>
      <w:pPr>
        <w:numPr>
          <w:ilvl w:val="0"/>
          <w:numId w:val="22"/>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Total Electricity consumption in North Eastern Region is Lowest.</w:t>
      </w:r>
    </w:p>
    <w:p>
      <w:pPr>
        <w:numPr>
          <w:ilvl w:val="0"/>
          <w:numId w:val="22"/>
        </w:numPr>
        <w:tabs>
          <w:tab w:val="left" w:pos="1901" w:leader="none"/>
          <w:tab w:val="left" w:pos="1902" w:leader="none"/>
        </w:tabs>
        <w:spacing w:before="149" w:after="0" w:line="276"/>
        <w:ind w:right="0" w:left="1902" w:hanging="9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2020 for Quarter 3 was Lowest.</w:t>
      </w:r>
    </w:p>
    <w:p>
      <w:pPr>
        <w:numPr>
          <w:ilvl w:val="0"/>
          <w:numId w:val="22"/>
        </w:numPr>
        <w:tabs>
          <w:tab w:val="left" w:pos="1901" w:leader="none"/>
          <w:tab w:val="left" w:pos="1902" w:leader="none"/>
        </w:tabs>
        <w:spacing w:before="149" w:after="0" w:line="276"/>
        <w:ind w:right="0" w:left="1902" w:hanging="9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Electricity Consumption in 2020 for Quarter 1 was Highest.</w:t>
      </w:r>
    </w:p>
    <w:p>
      <w:pPr>
        <w:tabs>
          <w:tab w:val="left" w:pos="1901" w:leader="none"/>
          <w:tab w:val="left" w:pos="1902" w:leader="none"/>
        </w:tabs>
        <w:spacing w:before="149"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FUTURE</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SCOPE</w:t>
      </w:r>
    </w:p>
    <w:p>
      <w:pPr>
        <w:tabs>
          <w:tab w:val="left" w:pos="1901" w:leader="none"/>
          <w:tab w:val="left" w:pos="1902" w:leader="none"/>
        </w:tabs>
        <w:spacing w:before="151"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understanding consumption patterns and trends, the analysis can help businesses identify market opportunities and develop strategies to meet the growing demand for electricity in India.</w:t>
      </w:r>
    </w:p>
    <w:p>
      <w:pPr>
        <w:tabs>
          <w:tab w:val="left" w:pos="1901" w:leader="none"/>
          <w:tab w:val="left" w:pos="1902" w:leader="none"/>
        </w:tabs>
        <w:spacing w:before="151" w:after="0" w:line="276"/>
        <w:ind w:right="0" w:left="0" w:firstLine="0"/>
        <w:jc w:val="both"/>
        <w:rPr>
          <w:rFonts w:ascii="Times New Roman" w:hAnsi="Times New Roman" w:cs="Times New Roman" w:eastAsia="Times New Roman"/>
          <w:b/>
          <w:color w:val="auto"/>
          <w:spacing w:val="0"/>
          <w:position w:val="0"/>
          <w:sz w:val="28"/>
          <w:shd w:fill="auto" w:val="clear"/>
        </w:rPr>
      </w:pPr>
    </w:p>
    <w:p>
      <w:pPr>
        <w:tabs>
          <w:tab w:val="left" w:pos="1901" w:leader="none"/>
          <w:tab w:val="left" w:pos="1902" w:leader="none"/>
        </w:tabs>
        <w:spacing w:before="1"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APPENDIX</w:t>
      </w:r>
    </w:p>
    <w:p>
      <w:pPr>
        <w:tabs>
          <w:tab w:val="left" w:pos="1901" w:leader="none"/>
          <w:tab w:val="left" w:pos="1902" w:leader="none"/>
        </w:tabs>
        <w:spacing w:before="1" w:after="0" w:line="276"/>
        <w:ind w:right="0" w:left="0" w:firstLine="0"/>
        <w:jc w:val="left"/>
        <w:rPr>
          <w:rFonts w:ascii="Times New Roman" w:hAnsi="Times New Roman" w:cs="Times New Roman" w:eastAsia="Times New Roman"/>
          <w:b/>
          <w:color w:val="auto"/>
          <w:spacing w:val="0"/>
          <w:position w:val="0"/>
          <w:sz w:val="24"/>
          <w:shd w:fill="auto" w:val="clear"/>
        </w:rPr>
      </w:pPr>
    </w:p>
    <w:p>
      <w:pPr>
        <w:tabs>
          <w:tab w:val="left" w:pos="1901" w:leader="none"/>
          <w:tab w:val="left" w:pos="1902" w:leader="none"/>
        </w:tabs>
        <w:spacing w:before="1"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Code</w:t>
      </w:r>
    </w:p>
    <w:p>
      <w:pPr>
        <w:spacing w:before="143"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Dashboard link:</w:t>
      </w:r>
    </w:p>
    <w:p>
      <w:pPr>
        <w:spacing w:before="150" w:after="0" w:line="240"/>
        <w:ind w:right="0" w:left="90" w:firstLine="0"/>
        <w:jc w:val="left"/>
        <w:rPr>
          <w:rFonts w:ascii="Calibri" w:hAnsi="Calibri" w:cs="Calibri" w:eastAsia="Calibri"/>
          <w:color w:val="auto"/>
          <w:spacing w:val="0"/>
          <w:position w:val="0"/>
          <w:sz w:val="24"/>
          <w:shd w:fill="auto" w:val="clear"/>
        </w:rPr>
      </w:pPr>
      <w:hyperlink xmlns:r="http://schemas.openxmlformats.org/officeDocument/2006/relationships" r:id="docRId12">
        <w:r>
          <w:rPr>
            <w:rFonts w:ascii="Calibri" w:hAnsi="Calibri" w:cs="Calibri" w:eastAsia="Calibri"/>
            <w:color w:val="0000FF"/>
            <w:spacing w:val="0"/>
            <w:position w:val="0"/>
            <w:sz w:val="24"/>
            <w:u w:val="single"/>
            <w:shd w:fill="auto" w:val="clear"/>
          </w:rPr>
          <w:t xml:space="preserve">https://public.tableau.com/views/NMDAPROJECTDashboard3/Dashboard1?:language=en-US&amp;publish=yes&amp;:display_count=n&amp;:origin=viz_share_link</w:t>
        </w:r>
      </w:hyperlink>
    </w:p>
    <w:p>
      <w:pPr>
        <w:spacing w:before="150" w:after="0" w:line="240"/>
        <w:ind w:right="0" w:left="90" w:firstLine="0"/>
        <w:jc w:val="left"/>
        <w:rPr>
          <w:rFonts w:ascii="Calibri" w:hAnsi="Calibri" w:cs="Calibri" w:eastAsia="Calibri"/>
          <w:color w:val="auto"/>
          <w:spacing w:val="0"/>
          <w:position w:val="0"/>
          <w:sz w:val="24"/>
          <w:shd w:fill="auto" w:val="clear"/>
        </w:rPr>
      </w:pPr>
      <w:hyperlink xmlns:r="http://schemas.openxmlformats.org/officeDocument/2006/relationships" r:id="docRId13">
        <w:r>
          <w:rPr>
            <w:rFonts w:ascii="Calibri" w:hAnsi="Calibri" w:cs="Calibri" w:eastAsia="Calibri"/>
            <w:color w:val="0000FF"/>
            <w:spacing w:val="0"/>
            <w:position w:val="0"/>
            <w:sz w:val="24"/>
            <w:u w:val="single"/>
            <w:shd w:fill="auto" w:val="clear"/>
          </w:rPr>
          <w:t xml:space="preserve">https://public.tableau.com/views/NMDAPROJECTDashboard3/Dashboard2?:language=en-US&amp;publish=yes&amp;:display_count=n&amp;:origin=viz_share_link</w:t>
        </w:r>
      </w:hyperlink>
    </w:p>
    <w:p>
      <w:pPr>
        <w:spacing w:before="150" w:after="0" w:line="240"/>
        <w:ind w:right="0" w:left="90" w:firstLine="0"/>
        <w:jc w:val="left"/>
        <w:rPr>
          <w:rFonts w:ascii="Calibri" w:hAnsi="Calibri" w:cs="Calibri" w:eastAsia="Calibri"/>
          <w:color w:val="auto"/>
          <w:spacing w:val="0"/>
          <w:position w:val="0"/>
          <w:sz w:val="24"/>
          <w:shd w:fill="auto" w:val="clear"/>
        </w:rPr>
      </w:pPr>
      <w:hyperlink xmlns:r="http://schemas.openxmlformats.org/officeDocument/2006/relationships" r:id="docRId14">
        <w:r>
          <w:rPr>
            <w:rFonts w:ascii="Calibri" w:hAnsi="Calibri" w:cs="Calibri" w:eastAsia="Calibri"/>
            <w:color w:val="0000FF"/>
            <w:spacing w:val="0"/>
            <w:position w:val="0"/>
            <w:sz w:val="24"/>
            <w:u w:val="single"/>
            <w:shd w:fill="auto" w:val="clear"/>
          </w:rPr>
          <w:t xml:space="preserve">https://p;ublic.tableau.com/views/NMDAPROJECTDashboard3/Dashboard3?:language=en-US&amp;publish=yes&amp;:display_count=n&amp;:origin=viz_share_link</w:t>
        </w:r>
      </w:hyperlink>
    </w:p>
    <w:p>
      <w:pPr>
        <w:spacing w:before="150" w:after="0" w:line="240"/>
        <w:ind w:right="0" w:left="90" w:firstLine="0"/>
        <w:jc w:val="left"/>
        <w:rPr>
          <w:rFonts w:ascii="Calibri" w:hAnsi="Calibri" w:cs="Calibri" w:eastAsia="Calibri"/>
          <w:color w:val="auto"/>
          <w:spacing w:val="0"/>
          <w:position w:val="0"/>
          <w:sz w:val="24"/>
          <w:shd w:fill="auto" w:val="clear"/>
        </w:rPr>
      </w:pPr>
    </w:p>
    <w:p>
      <w:pPr>
        <w:spacing w:before="150" w:after="0" w:line="240"/>
        <w:ind w:right="0" w:left="9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Story link:</w:t>
      </w:r>
    </w:p>
    <w:p>
      <w:pPr>
        <w:spacing w:before="150" w:after="0" w:line="240"/>
        <w:ind w:right="0" w:left="90" w:firstLine="0"/>
        <w:jc w:val="left"/>
        <w:rPr>
          <w:rFonts w:ascii="Calibri" w:hAnsi="Calibri" w:cs="Calibri" w:eastAsia="Calibri"/>
          <w:color w:val="auto"/>
          <w:spacing w:val="0"/>
          <w:position w:val="0"/>
          <w:sz w:val="24"/>
          <w:shd w:fill="auto" w:val="clear"/>
        </w:rPr>
      </w:pPr>
      <w:hyperlink xmlns:r="http://schemas.openxmlformats.org/officeDocument/2006/relationships" r:id="docRId15">
        <w:r>
          <w:rPr>
            <w:rFonts w:ascii="Calibri" w:hAnsi="Calibri" w:cs="Calibri" w:eastAsia="Calibri"/>
            <w:color w:val="0000FF"/>
            <w:spacing w:val="0"/>
            <w:position w:val="0"/>
            <w:sz w:val="24"/>
            <w:u w:val="single"/>
            <w:shd w:fill="auto" w:val="clear"/>
          </w:rPr>
          <w:t xml:space="preserve">https://public.tableau.com/views/NMDAPROJECTstory/STORYONELECTRICALCONSUMPTIONININDIA?:language=en-US&amp;publish=yes&amp;:display_</w:t>
        </w:r>
      </w:hyperlink>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4" w:after="0" w:line="240"/>
        <w:ind w:right="0" w:left="0" w:firstLine="0"/>
        <w:jc w:val="left"/>
        <w:rPr>
          <w:rFonts w:ascii="Calibri" w:hAnsi="Calibri" w:cs="Calibri" w:eastAsia="Calibri"/>
          <w:color w:val="auto"/>
          <w:spacing w:val="0"/>
          <w:position w:val="0"/>
          <w:sz w:val="1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3">
    <w:abstractNumId w:val="24"/>
  </w:num>
  <w:num w:numId="16">
    <w:abstractNumId w:val="18"/>
  </w:num>
  <w:num w:numId="18">
    <w:abstractNumId w:val="12"/>
  </w:num>
  <w:num w:numId="20">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p;ublic.tableau.com/views/NMDAPROJECTDashboard3/Dashboard3?:language=en-US&amp;publish=yes&amp;:display_count=n&amp;:origin=viz_share_link"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public.tableau.com/views/NMDAPROJECTstory/STORYONELECTRICALCONSUMPTIONININDIA?:language=en-US&amp;publish=yes&amp;:display_"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public.tableau.com/views/NMDAPROJECTDashboard3/Dashboard1?:language=en-US&amp;publish=yes&amp;:display_count=n&amp;:origin=viz_share_link" Id="docRId12" Type="http://schemas.openxmlformats.org/officeDocument/2006/relationships/hyperlink"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public.tableau.com/views/NMDAPROJECTDashboard3/Dashboard2?:language=en-US&amp;publish=yes&amp;:display_count=n&amp;:origin=viz_share_link" Id="docRId13" Type="http://schemas.openxmlformats.org/officeDocument/2006/relationships/hyperlink" /><Relationship Target="media/image1.wmf" Id="docRId3" Type="http://schemas.openxmlformats.org/officeDocument/2006/relationships/image" /></Relationships>
</file>