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2A9B2F17" w:rsidR="00FC0E1C" w:rsidRPr="00E65791" w:rsidRDefault="00FB070D" w:rsidP="00FC0E1C">
      <w:pPr>
        <w:spacing w:line="360" w:lineRule="auto"/>
        <w:ind w:left="360"/>
        <w:jc w:val="center"/>
        <w:rPr>
          <w:rFonts w:ascii="Times New Roman" w:hAnsi="Times New Roman" w:cs="Times New Roman"/>
          <w:sz w:val="28"/>
          <w:szCs w:val="28"/>
        </w:rPr>
      </w:pPr>
      <w:r w:rsidRPr="00E65791">
        <w:rPr>
          <w:rFonts w:ascii="Times New Roman" w:hAnsi="Times New Roman" w:cs="Times New Roman"/>
          <w:b/>
          <w:bCs/>
          <w:sz w:val="28"/>
          <w:szCs w:val="28"/>
        </w:rPr>
        <w:t>v</w:t>
      </w:r>
      <w:r w:rsidR="002E26FA" w:rsidRPr="00E65791">
        <w:rPr>
          <w:rFonts w:ascii="Times New Roman" w:hAnsi="Times New Roman" w:cs="Times New Roman"/>
          <w:b/>
          <w:bCs/>
          <w:sz w:val="28"/>
          <w:szCs w:val="28"/>
        </w:rPr>
        <w:t>6</w:t>
      </w:r>
      <w:r w:rsidR="00FC0E1C" w:rsidRPr="00E65791">
        <w:rPr>
          <w:rFonts w:ascii="Times New Roman" w:hAnsi="Times New Roman" w:cs="Times New Roman"/>
          <w:b/>
          <w:bCs/>
          <w:sz w:val="28"/>
          <w:szCs w:val="28"/>
        </w:rPr>
        <w:t>.</w:t>
      </w:r>
      <w:r w:rsidR="00A15779">
        <w:rPr>
          <w:rFonts w:ascii="Times New Roman" w:hAnsi="Times New Roman" w:cs="Times New Roman"/>
          <w:b/>
          <w:bCs/>
          <w:sz w:val="28"/>
          <w:szCs w:val="28"/>
        </w:rPr>
        <w:t>7</w:t>
      </w:r>
      <w:r w:rsidR="00C714A1">
        <w:rPr>
          <w:rFonts w:ascii="Times New Roman" w:hAnsi="Times New Roman" w:cs="Times New Roman"/>
          <w:b/>
          <w:bCs/>
          <w:sz w:val="28"/>
          <w:szCs w:val="28"/>
        </w:rPr>
        <w:t>5</w:t>
      </w:r>
      <w:r w:rsidR="00FC0E1C" w:rsidRPr="00E65791">
        <w:rPr>
          <w:rFonts w:ascii="Times New Roman" w:hAnsi="Times New Roman" w:cs="Times New Roman"/>
          <w:sz w:val="28"/>
          <w:szCs w:val="28"/>
        </w:rPr>
        <w:t xml:space="preserve"> </w:t>
      </w:r>
      <w:r w:rsidR="00C714A1">
        <w:rPr>
          <w:rFonts w:ascii="Times New Roman" w:hAnsi="Times New Roman" w:cs="Times New Roman"/>
          <w:sz w:val="28"/>
          <w:szCs w:val="28"/>
        </w:rPr>
        <w:t>11</w:t>
      </w:r>
      <w:r w:rsidR="00FC0E1C" w:rsidRPr="00E65791">
        <w:rPr>
          <w:rFonts w:ascii="Times New Roman" w:hAnsi="Times New Roman" w:cs="Times New Roman"/>
          <w:sz w:val="28"/>
          <w:szCs w:val="28"/>
        </w:rPr>
        <w:t xml:space="preserve"> </w:t>
      </w:r>
      <w:r w:rsidR="00A15779">
        <w:rPr>
          <w:rFonts w:ascii="Times New Roman" w:hAnsi="Times New Roman" w:cs="Times New Roman"/>
          <w:sz w:val="28"/>
          <w:szCs w:val="28"/>
        </w:rPr>
        <w:t>May</w:t>
      </w:r>
      <w:r w:rsidR="00033C36" w:rsidRPr="00E65791">
        <w:rPr>
          <w:rFonts w:ascii="Times New Roman" w:hAnsi="Times New Roman" w:cs="Times New Roman"/>
          <w:sz w:val="28"/>
          <w:szCs w:val="28"/>
        </w:rPr>
        <w:t xml:space="preserve"> </w:t>
      </w:r>
      <w:r w:rsidR="006031BD" w:rsidRPr="00E65791">
        <w:rPr>
          <w:rFonts w:ascii="Times New Roman" w:hAnsi="Times New Roman" w:cs="Times New Roman"/>
          <w:sz w:val="28"/>
          <w:szCs w:val="28"/>
        </w:rPr>
        <w:t>20</w:t>
      </w:r>
      <w:r w:rsidR="002E26FA" w:rsidRPr="00E65791">
        <w:rPr>
          <w:rFonts w:ascii="Times New Roman" w:hAnsi="Times New Roman" w:cs="Times New Roman"/>
          <w:sz w:val="28"/>
          <w:szCs w:val="28"/>
        </w:rPr>
        <w:t>2</w:t>
      </w:r>
      <w:r w:rsidR="00A15779">
        <w:rPr>
          <w:rFonts w:ascii="Times New Roman" w:hAnsi="Times New Roman" w:cs="Times New Roman"/>
          <w:sz w:val="28"/>
          <w:szCs w:val="28"/>
        </w:rPr>
        <w:t>5</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w:t>
      </w:r>
      <w:proofErr w:type="gramStart"/>
      <w:r>
        <w:rPr>
          <w:rFonts w:ascii="Times New Roman" w:eastAsiaTheme="minorEastAsia" w:hAnsi="Times New Roman" w:cs="Times New Roman"/>
          <w:sz w:val="24"/>
          <w:szCs w:val="24"/>
        </w:rPr>
        <w:t>return</w:t>
      </w:r>
      <w:proofErr w:type="gramEnd"/>
      <w:r>
        <w:rPr>
          <w:rFonts w:ascii="Times New Roman" w:eastAsiaTheme="minorEastAsia" w:hAnsi="Times New Roman" w:cs="Times New Roman"/>
          <w:sz w:val="24"/>
          <w:szCs w:val="24"/>
        </w:rPr>
        <w:t xml:space="preserve">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hyperlink r:id="rId9" w:history="1">
        <w:r w:rsidRPr="00D12E00">
          <w:rPr>
            <w:rStyle w:val="Hyperlink"/>
            <w:rFonts w:ascii="Times New Roman" w:hAnsi="Times New Roman" w:cs="Times New Roman"/>
            <w:sz w:val="24"/>
            <w:szCs w:val="24"/>
          </w:rPr>
          <w:t>Modern Portfolio Theory (Wiki)</w:t>
        </w:r>
      </w:hyperlink>
      <w:r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w:t>
      </w:r>
      <w:proofErr w:type="gramStart"/>
      <w:r>
        <w:rPr>
          <w:rFonts w:ascii="Times New Roman" w:hAnsi="Times New Roman" w:cs="Times New Roman"/>
          <w:sz w:val="24"/>
          <w:szCs w:val="24"/>
        </w:rPr>
        <w:t>in excess of</w:t>
      </w:r>
      <w:proofErr w:type="gramEnd"/>
      <w:r>
        <w:rPr>
          <w:rFonts w:ascii="Times New Roman" w:hAnsi="Times New Roman" w:cs="Times New Roman"/>
          <w:sz w:val="24"/>
          <w:szCs w:val="24"/>
        </w:rPr>
        <w:t xml:space="preserve">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w:t>
      </w:r>
      <w:proofErr w:type="gramStart"/>
      <w:r>
        <w:rPr>
          <w:rFonts w:ascii="Times New Roman" w:eastAsiaTheme="minorEastAsia" w:hAnsi="Times New Roman" w:cs="Times New Roman"/>
          <w:sz w:val="24"/>
          <w:szCs w:val="24"/>
        </w:rPr>
        <w:t>in excess of</w:t>
      </w:r>
      <w:proofErr w:type="gramEnd"/>
      <w:r>
        <w:rPr>
          <w:rFonts w:ascii="Times New Roman" w:eastAsiaTheme="minorEastAsia" w:hAnsi="Times New Roman" w:cs="Times New Roman"/>
          <w:sz w:val="24"/>
          <w:szCs w:val="24"/>
        </w:rPr>
        <w:t xml:space="preserve">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xml:space="preserve">: The expression at equilibrium above states that the excess returns on the portfolio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w:t>
      </w:r>
      <w:proofErr w:type="gramStart"/>
      <w:r>
        <w:rPr>
          <w:rFonts w:ascii="Times New Roman" w:eastAsiaTheme="minorEastAsia" w:hAnsi="Times New Roman" w:cs="Times New Roman"/>
          <w:sz w:val="24"/>
          <w:szCs w:val="24"/>
        </w:rPr>
        <w:t>really confident</w:t>
      </w:r>
      <w:proofErr w:type="gramEnd"/>
      <w:r>
        <w:rPr>
          <w:rFonts w:ascii="Times New Roman" w:eastAsiaTheme="minorEastAsia" w:hAnsi="Times New Roman" w:cs="Times New Roman"/>
          <w:sz w:val="24"/>
          <w:szCs w:val="24"/>
        </w:rPr>
        <w:t xml:space="preserve">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xml:space="preserve">: </w:t>
      </w:r>
      <w:proofErr w:type="gramStart"/>
      <w:r w:rsidRPr="00D8069F">
        <w:rPr>
          <w:rFonts w:ascii="Times New Roman" w:hAnsi="Times New Roman" w:cs="Times New Roman"/>
          <w:sz w:val="24"/>
          <w:szCs w:val="24"/>
        </w:rPr>
        <w:t>In order to</w:t>
      </w:r>
      <w:proofErr w:type="gramEnd"/>
      <w:r w:rsidRPr="00D8069F">
        <w:rPr>
          <w:rFonts w:ascii="Times New Roman" w:hAnsi="Times New Roman" w:cs="Times New Roman"/>
          <w:sz w:val="24"/>
          <w:szCs w:val="24"/>
        </w:rPr>
        <w:t xml:space="preserve">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securities whose fluctuations are highly correlated, with one much more liquid than the other, an optimal strategy could direct rapidly </w:t>
      </w:r>
      <w:proofErr w:type="gramStart"/>
      <w:r w:rsidR="003B2C2A">
        <w:rPr>
          <w:rFonts w:ascii="Times New Roman" w:hAnsi="Times New Roman" w:cs="Times New Roman"/>
          <w:sz w:val="24"/>
          <w:szCs w:val="24"/>
        </w:rPr>
        <w:t>going</w:t>
      </w:r>
      <w:proofErr w:type="gramEnd"/>
      <w:r w:rsidR="003B2C2A">
        <w:rPr>
          <w:rFonts w:ascii="Times New Roman" w:hAnsi="Times New Roman" w:cs="Times New Roman"/>
          <w:sz w:val="24"/>
          <w:szCs w:val="24"/>
        </w:rPr>
        <w:t xml:space="preserve">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proofErr w:type="gramStart"/>
      <w:r>
        <w:rPr>
          <w:rFonts w:ascii="Times New Roman" w:hAnsi="Times New Roman" w:cs="Times New Roman"/>
          <w:sz w:val="24"/>
          <w:szCs w:val="24"/>
        </w:rPr>
        <w:t>”</w:t>
      </w:r>
      <w:r w:rsidR="0093069E">
        <w:rPr>
          <w:rFonts w:ascii="Times New Roman" w:hAnsi="Times New Roman" w:cs="Times New Roman"/>
          <w:sz w:val="24"/>
          <w:szCs w:val="24"/>
        </w:rPr>
        <w:t>.</w:t>
      </w:r>
      <w:proofErr w:type="gramEnd"/>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and the trade is reducing in position,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for sells.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proofErr w:type="gramStart"/>
      <w:r w:rsidRPr="00443ADA">
        <w:rPr>
          <w:rFonts w:ascii="Times New Roman" w:hAnsi="Times New Roman" w:cs="Times New Roman"/>
          <w:i/>
          <w:iCs/>
          <w:sz w:val="24"/>
          <w:szCs w:val="24"/>
        </w:rPr>
        <w:t>custom:bookYield</w:t>
      </w:r>
      <w:proofErr w:type="gramEnd"/>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roofErr w:type="gramStart"/>
      <w:r w:rsidR="006C6BAF">
        <w:rPr>
          <w:rFonts w:ascii="Times New Roman" w:hAnsi="Times New Roman" w:cs="Times New Roman"/>
          <w:sz w:val="24"/>
          <w:szCs w:val="24"/>
        </w:rPr>
        <w:t>”.</w:t>
      </w:r>
      <w:proofErr w:type="gramEnd"/>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219BDE96" w:rsidR="00A15779" w:rsidRDefault="00A15779">
      <w:pPr>
        <w:rPr>
          <w:rFonts w:ascii="Times New Roman" w:hAnsi="Times New Roman" w:cs="Times New Roman"/>
          <w:sz w:val="24"/>
          <w:szCs w:val="24"/>
        </w:rPr>
      </w:pPr>
      <w:r>
        <w:rPr>
          <w:rFonts w:ascii="Times New Roman" w:hAnsi="Times New Roman" w:cs="Times New Roman"/>
          <w:sz w:val="24"/>
          <w:szCs w:val="24"/>
        </w:rPr>
        <w:br w:type="page"/>
      </w:r>
    </w:p>
    <w:p w14:paraId="73B6EC3E" w14:textId="77777777" w:rsidR="006C6BAF" w:rsidRDefault="006C6BAF" w:rsidP="00A15779">
      <w:pPr>
        <w:spacing w:line="360" w:lineRule="auto"/>
        <w:rPr>
          <w:rFonts w:ascii="Times New Roman" w:hAnsi="Times New Roman" w:cs="Times New Roman"/>
          <w:sz w:val="24"/>
          <w:szCs w:val="24"/>
        </w:rPr>
      </w:pPr>
    </w:p>
    <w:p w14:paraId="3A051751" w14:textId="0BB97BC7" w:rsidR="00A15779" w:rsidRPr="00A15779" w:rsidRDefault="00A15779" w:rsidP="00A15779">
      <w:pPr>
        <w:spacing w:line="360" w:lineRule="auto"/>
        <w:jc w:val="center"/>
        <w:rPr>
          <w:rFonts w:ascii="Times New Roman" w:hAnsi="Times New Roman" w:cs="Times New Roman"/>
          <w:b/>
          <w:bCs/>
          <w:sz w:val="32"/>
          <w:szCs w:val="32"/>
        </w:rPr>
      </w:pPr>
      <w:r w:rsidRPr="00A15779">
        <w:rPr>
          <w:rFonts w:ascii="Times New Roman" w:hAnsi="Times New Roman" w:cs="Times New Roman"/>
          <w:b/>
          <w:bCs/>
          <w:sz w:val="32"/>
          <w:szCs w:val="32"/>
        </w:rPr>
        <w:t>Muni Cash Raise Rebalancer Process</w:t>
      </w:r>
    </w:p>
    <w:p w14:paraId="22FD8B81" w14:textId="77777777" w:rsidR="00A15779" w:rsidRDefault="00A15779" w:rsidP="00A15779">
      <w:pPr>
        <w:spacing w:line="360" w:lineRule="auto"/>
        <w:rPr>
          <w:rFonts w:ascii="Times New Roman" w:hAnsi="Times New Roman" w:cs="Times New Roman"/>
          <w:sz w:val="24"/>
          <w:szCs w:val="24"/>
        </w:rPr>
      </w:pPr>
    </w:p>
    <w:p w14:paraId="644E4C44" w14:textId="77777777" w:rsidR="00A15779" w:rsidRDefault="00A15779" w:rsidP="00A15779">
      <w:pPr>
        <w:spacing w:line="360" w:lineRule="auto"/>
        <w:rPr>
          <w:rFonts w:ascii="Times New Roman" w:hAnsi="Times New Roman" w:cs="Times New Roman"/>
          <w:sz w:val="24"/>
          <w:szCs w:val="24"/>
        </w:rPr>
      </w:pPr>
    </w:p>
    <w:p w14:paraId="34C5247A" w14:textId="21B64363" w:rsidR="00A15779" w:rsidRPr="00A15779" w:rsidRDefault="00A15779" w:rsidP="00A15779">
      <w:pPr>
        <w:spacing w:line="360" w:lineRule="auto"/>
        <w:rPr>
          <w:rFonts w:ascii="Times New Roman" w:hAnsi="Times New Roman" w:cs="Times New Roman"/>
          <w:b/>
          <w:bCs/>
          <w:sz w:val="28"/>
          <w:szCs w:val="28"/>
        </w:rPr>
      </w:pPr>
      <w:r w:rsidRPr="00A15779">
        <w:rPr>
          <w:rFonts w:ascii="Times New Roman" w:hAnsi="Times New Roman" w:cs="Times New Roman"/>
          <w:b/>
          <w:bCs/>
          <w:sz w:val="28"/>
          <w:szCs w:val="28"/>
        </w:rPr>
        <w:t>Rebalancer Target – Maximize Book Yield</w:t>
      </w:r>
    </w:p>
    <w:p w14:paraId="581853F9" w14:textId="77777777" w:rsidR="00A15779" w:rsidRDefault="00A15779" w:rsidP="00A15779">
      <w:pPr>
        <w:spacing w:line="360" w:lineRule="auto"/>
        <w:rPr>
          <w:rFonts w:ascii="Times New Roman" w:hAnsi="Times New Roman" w:cs="Times New Roman"/>
          <w:sz w:val="24"/>
          <w:szCs w:val="24"/>
        </w:rPr>
      </w:pPr>
    </w:p>
    <w:p w14:paraId="7AEAEDEB" w14:textId="5EF912EA" w:rsidR="00A15779" w:rsidRDefault="00A15779" w:rsidP="00A15779">
      <w:pPr>
        <w:pStyle w:val="ListParagraph"/>
        <w:numPr>
          <w:ilvl w:val="0"/>
          <w:numId w:val="83"/>
        </w:numPr>
        <w:spacing w:line="360" w:lineRule="auto"/>
        <w:rPr>
          <w:rFonts w:ascii="Times New Roman" w:hAnsi="Times New Roman" w:cs="Times New Roman"/>
          <w:sz w:val="24"/>
          <w:szCs w:val="24"/>
        </w:rPr>
      </w:pPr>
      <w:r w:rsidRPr="00A15779">
        <w:rPr>
          <w:rFonts w:ascii="Times New Roman" w:hAnsi="Times New Roman" w:cs="Times New Roman"/>
          <w:sz w:val="24"/>
          <w:szCs w:val="24"/>
          <w:u w:val="single"/>
        </w:rPr>
        <w:t>Holdings are Limited to Municipals in the Accounts</w:t>
      </w:r>
      <w:r w:rsidRPr="00A15779">
        <w:rPr>
          <w:rFonts w:ascii="Times New Roman" w:hAnsi="Times New Roman" w:cs="Times New Roman"/>
          <w:sz w:val="24"/>
          <w:szCs w:val="24"/>
        </w:rPr>
        <w:t xml:space="preserve">: </w:t>
      </w:r>
      <w:r w:rsidR="00471E52">
        <w:rPr>
          <w:rFonts w:ascii="Times New Roman" w:hAnsi="Times New Roman" w:cs="Times New Roman"/>
          <w:sz w:val="24"/>
          <w:szCs w:val="24"/>
        </w:rPr>
        <w:t>Their cumulative weight is set to an upper threshold to leave some cash.</w:t>
      </w:r>
    </w:p>
    <w:p w14:paraId="3AB8AF79" w14:textId="74A5F4D5"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Lots Applied</w:t>
      </w:r>
    </w:p>
    <w:p w14:paraId="4AC1B027" w14:textId="15D92624"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Allowed to go Negative Relative to the Model</w:t>
      </w:r>
    </w:p>
    <w:p w14:paraId="71E5F1DC" w14:textId="70E8903F"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Ability to Bundle Sells if needed in a Separate Workflow Scenario</w:t>
      </w:r>
    </w:p>
    <w:p w14:paraId="0EDB0D35" w14:textId="1B5735B9" w:rsidR="00471E52" w:rsidRPr="00A15779"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Do not sell Bonds not settled</w:t>
      </w:r>
    </w:p>
    <w:p w14:paraId="0F3C052A" w14:textId="77777777" w:rsidR="001A4F8D" w:rsidRDefault="001A4F8D" w:rsidP="001A4F8D">
      <w:pPr>
        <w:spacing w:line="360" w:lineRule="auto"/>
        <w:rPr>
          <w:rFonts w:ascii="Times New Roman" w:hAnsi="Times New Roman" w:cs="Times New Roman"/>
          <w:sz w:val="24"/>
          <w:szCs w:val="24"/>
        </w:rPr>
      </w:pPr>
    </w:p>
    <w:p w14:paraId="74A6498D" w14:textId="77777777" w:rsidR="00471E52" w:rsidRDefault="00471E52" w:rsidP="001A4F8D">
      <w:pPr>
        <w:spacing w:line="360" w:lineRule="auto"/>
        <w:rPr>
          <w:rFonts w:ascii="Times New Roman" w:hAnsi="Times New Roman" w:cs="Times New Roman"/>
          <w:sz w:val="24"/>
          <w:szCs w:val="24"/>
        </w:rPr>
      </w:pPr>
    </w:p>
    <w:p w14:paraId="58565B59" w14:textId="09CEDE31" w:rsidR="00471E52" w:rsidRPr="00471E52" w:rsidRDefault="00471E52" w:rsidP="001A4F8D">
      <w:pPr>
        <w:spacing w:line="360" w:lineRule="auto"/>
        <w:rPr>
          <w:rFonts w:ascii="Times New Roman" w:hAnsi="Times New Roman" w:cs="Times New Roman"/>
          <w:b/>
          <w:bCs/>
          <w:sz w:val="28"/>
          <w:szCs w:val="28"/>
        </w:rPr>
      </w:pPr>
      <w:r w:rsidRPr="00471E52">
        <w:rPr>
          <w:rFonts w:ascii="Times New Roman" w:hAnsi="Times New Roman" w:cs="Times New Roman"/>
          <w:b/>
          <w:bCs/>
          <w:sz w:val="28"/>
          <w:szCs w:val="28"/>
        </w:rPr>
        <w:t>Rebalancer Constraints</w:t>
      </w:r>
    </w:p>
    <w:p w14:paraId="7D94532F" w14:textId="77777777" w:rsidR="00471E52" w:rsidRDefault="00471E52" w:rsidP="001A4F8D">
      <w:pPr>
        <w:spacing w:line="360" w:lineRule="auto"/>
        <w:rPr>
          <w:rFonts w:ascii="Times New Roman" w:hAnsi="Times New Roman" w:cs="Times New Roman"/>
          <w:sz w:val="24"/>
          <w:szCs w:val="24"/>
        </w:rPr>
      </w:pPr>
    </w:p>
    <w:p w14:paraId="3644D34C" w14:textId="12E093B4" w:rsidR="00471E52" w:rsidRDefault="00471E52" w:rsidP="00353A91">
      <w:pPr>
        <w:pStyle w:val="ListParagraph"/>
        <w:numPr>
          <w:ilvl w:val="0"/>
          <w:numId w:val="84"/>
        </w:numPr>
        <w:spacing w:line="360" w:lineRule="auto"/>
        <w:rPr>
          <w:rFonts w:ascii="Times New Roman" w:hAnsi="Times New Roman" w:cs="Times New Roman"/>
          <w:sz w:val="24"/>
          <w:szCs w:val="24"/>
        </w:rPr>
      </w:pPr>
      <w:r w:rsidRPr="00353A91">
        <w:rPr>
          <w:rFonts w:ascii="Times New Roman" w:hAnsi="Times New Roman" w:cs="Times New Roman"/>
          <w:sz w:val="24"/>
          <w:szCs w:val="24"/>
          <w:u w:val="single"/>
        </w:rPr>
        <w:t>Post Withdrawal</w:t>
      </w:r>
      <w:r w:rsidRPr="00353A91">
        <w:rPr>
          <w:rFonts w:ascii="Times New Roman" w:hAnsi="Times New Roman" w:cs="Times New Roman"/>
          <w:sz w:val="24"/>
          <w:szCs w:val="24"/>
        </w:rPr>
        <w:t>:</w:t>
      </w:r>
      <w:r w:rsidR="00353A91" w:rsidRPr="00353A91">
        <w:rPr>
          <w:rFonts w:ascii="Times New Roman" w:hAnsi="Times New Roman" w:cs="Times New Roman"/>
          <w:sz w:val="24"/>
          <w:szCs w:val="24"/>
        </w:rPr>
        <w:t xml:space="preserve"> Must respect the constraints, visualized from a post-cash perspective</w:t>
      </w:r>
    </w:p>
    <w:p w14:paraId="0F49D55B" w14:textId="7582ED4B"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Floor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Model-0.5</m:t>
        </m:r>
      </m:oMath>
    </w:p>
    <w:p w14:paraId="5BF0C5EA" w14:textId="4EE50049"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Ceiling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Model+1.0</m:t>
        </m:r>
      </m:oMath>
    </w:p>
    <w:p w14:paraId="2A3A9CE4" w14:textId="65C453A7" w:rsidR="00353A91" w:rsidRDefault="00365A0D"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Utility </w:t>
      </w:r>
      <w:r w:rsidR="00353A91">
        <w:rPr>
          <w:rFonts w:ascii="Times New Roman" w:hAnsi="Times New Roman" w:cs="Times New Roman"/>
          <w:sz w:val="24"/>
          <w:szCs w:val="24"/>
          <w:u w:val="single"/>
        </w:rPr>
        <w:t>Muni-sector Post-Trade Limit</w:t>
      </w:r>
      <w:r w:rsidR="00353A91">
        <w:rPr>
          <w:rFonts w:ascii="Times New Roman" w:hAnsi="Times New Roman" w:cs="Times New Roman"/>
          <w:sz w:val="24"/>
          <w:szCs w:val="24"/>
        </w:rPr>
        <w:t>: E.g., 25% in the following combined:</w:t>
      </w:r>
    </w:p>
    <w:p w14:paraId="3ED3DAB0"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Education</w:t>
      </w:r>
    </w:p>
    <w:p w14:paraId="18DD245A"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Electricity</w:t>
      </w:r>
    </w:p>
    <w:p w14:paraId="664E6921"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Leasing</w:t>
      </w:r>
    </w:p>
    <w:p w14:paraId="40E90E91" w14:textId="0FD863B9"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Special Tax</w:t>
      </w:r>
    </w:p>
    <w:p w14:paraId="099E4DF2" w14:textId="34057E8D"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Transportation – Sum of Airports and Ex-airports</w:t>
      </w:r>
    </w:p>
    <w:p w14:paraId="678CB0AD" w14:textId="4E8B759A" w:rsidR="00353A91" w:rsidRP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Water and Sewer</w:t>
      </w:r>
    </w:p>
    <w:p w14:paraId="75FD8C39" w14:textId="5F7196A9"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Healthcare Muni-sector Post-Trade Limit</w:t>
      </w:r>
      <w:r>
        <w:rPr>
          <w:rFonts w:ascii="Times New Roman" w:hAnsi="Times New Roman" w:cs="Times New Roman"/>
          <w:sz w:val="24"/>
          <w:szCs w:val="24"/>
        </w:rPr>
        <w:t>: E.g., 15% in the following combined:</w:t>
      </w:r>
    </w:p>
    <w:p w14:paraId="53064BB6" w14:textId="33DC175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Hospitals</w:t>
      </w:r>
    </w:p>
    <w:p w14:paraId="3393622E" w14:textId="6C17B2E5"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Resource Recovery</w:t>
      </w:r>
    </w:p>
    <w:p w14:paraId="382A491E" w14:textId="1A3E5BC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IDR/PCR</w:t>
      </w:r>
    </w:p>
    <w:p w14:paraId="29FBEDD9" w14:textId="4055FF41"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State/Local GOs</w:t>
      </w:r>
      <w:r>
        <w:rPr>
          <w:rFonts w:ascii="Times New Roman" w:hAnsi="Times New Roman" w:cs="Times New Roman"/>
          <w:sz w:val="24"/>
          <w:szCs w:val="24"/>
        </w:rPr>
        <w:t>: No cap</w:t>
      </w:r>
    </w:p>
    <w:p w14:paraId="0FA2FC0C" w14:textId="7D9CB094"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 Level Holdings Maximum Limit</w:t>
      </w:r>
      <w:r>
        <w:rPr>
          <w:rFonts w:ascii="Times New Roman" w:hAnsi="Times New Roman" w:cs="Times New Roman"/>
          <w:sz w:val="24"/>
          <w:szCs w:val="24"/>
        </w:rPr>
        <w:t>: E.g., 50% in CA/MA/NJ/NY/PA</w:t>
      </w:r>
    </w:p>
    <w:p w14:paraId="7AAC13A0" w14:textId="05C53F4A"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Sell-only</w:t>
      </w:r>
      <w:r>
        <w:rPr>
          <w:rFonts w:ascii="Times New Roman" w:hAnsi="Times New Roman" w:cs="Times New Roman"/>
          <w:sz w:val="24"/>
          <w:szCs w:val="24"/>
        </w:rPr>
        <w:t>: To prevent buys, retain the final holdings in each security to be less than or equal to the initial holdings.</w:t>
      </w:r>
    </w:p>
    <w:p w14:paraId="79F4E6BB" w14:textId="77777777" w:rsidR="00471E52" w:rsidRDefault="00471E52" w:rsidP="001A4F8D">
      <w:pPr>
        <w:spacing w:line="360" w:lineRule="auto"/>
        <w:rPr>
          <w:rFonts w:ascii="Times New Roman" w:hAnsi="Times New Roman" w:cs="Times New Roman"/>
          <w:sz w:val="24"/>
          <w:szCs w:val="24"/>
        </w:rPr>
      </w:pPr>
    </w:p>
    <w:p w14:paraId="1E61FAA2" w14:textId="77777777" w:rsidR="009F0683" w:rsidRDefault="009F0683" w:rsidP="001A4F8D">
      <w:pPr>
        <w:spacing w:line="360" w:lineRule="auto"/>
        <w:rPr>
          <w:rFonts w:ascii="Times New Roman" w:hAnsi="Times New Roman" w:cs="Times New Roman"/>
          <w:sz w:val="24"/>
          <w:szCs w:val="24"/>
        </w:rPr>
      </w:pPr>
    </w:p>
    <w:p w14:paraId="3D65CC57" w14:textId="59236F5B" w:rsidR="009F0683" w:rsidRPr="009F0683" w:rsidRDefault="009F0683" w:rsidP="001A4F8D">
      <w:pPr>
        <w:spacing w:line="360" w:lineRule="auto"/>
        <w:rPr>
          <w:rFonts w:ascii="Times New Roman" w:hAnsi="Times New Roman" w:cs="Times New Roman"/>
          <w:b/>
          <w:bCs/>
          <w:sz w:val="28"/>
          <w:szCs w:val="28"/>
        </w:rPr>
      </w:pPr>
      <w:r w:rsidRPr="009F0683">
        <w:rPr>
          <w:rFonts w:ascii="Times New Roman" w:hAnsi="Times New Roman" w:cs="Times New Roman"/>
          <w:b/>
          <w:bCs/>
          <w:sz w:val="28"/>
          <w:szCs w:val="28"/>
        </w:rPr>
        <w:t>Priority Sells</w:t>
      </w:r>
    </w:p>
    <w:p w14:paraId="5BEF7A36" w14:textId="77777777" w:rsidR="009F0683" w:rsidRDefault="009F0683" w:rsidP="001A4F8D">
      <w:pPr>
        <w:spacing w:line="360" w:lineRule="auto"/>
        <w:rPr>
          <w:rFonts w:ascii="Times New Roman" w:hAnsi="Times New Roman" w:cs="Times New Roman"/>
          <w:sz w:val="24"/>
          <w:szCs w:val="24"/>
        </w:rPr>
      </w:pPr>
    </w:p>
    <w:p w14:paraId="13D4606C" w14:textId="24217F26" w:rsidR="009F0683" w:rsidRDefault="009F0683" w:rsidP="009F0683">
      <w:pPr>
        <w:pStyle w:val="ListParagraph"/>
        <w:numPr>
          <w:ilvl w:val="0"/>
          <w:numId w:val="85"/>
        </w:numPr>
        <w:spacing w:line="360" w:lineRule="auto"/>
        <w:rPr>
          <w:rFonts w:ascii="Times New Roman" w:hAnsi="Times New Roman" w:cs="Times New Roman"/>
          <w:sz w:val="24"/>
          <w:szCs w:val="24"/>
        </w:rPr>
      </w:pPr>
      <w:r w:rsidRPr="009F0683">
        <w:rPr>
          <w:rFonts w:ascii="Times New Roman" w:hAnsi="Times New Roman" w:cs="Times New Roman"/>
          <w:sz w:val="24"/>
          <w:szCs w:val="24"/>
          <w:u w:val="single"/>
        </w:rPr>
        <w:t>Always Sell these First in the Priority Order</w:t>
      </w:r>
      <w:r w:rsidRPr="009F0683">
        <w:rPr>
          <w:rFonts w:ascii="Times New Roman" w:hAnsi="Times New Roman" w:cs="Times New Roman"/>
          <w:sz w:val="24"/>
          <w:szCs w:val="24"/>
        </w:rPr>
        <w:t xml:space="preserve">: </w:t>
      </w:r>
      <w:r>
        <w:rPr>
          <w:rFonts w:ascii="Times New Roman" w:hAnsi="Times New Roman" w:cs="Times New Roman"/>
          <w:sz w:val="24"/>
          <w:szCs w:val="24"/>
        </w:rPr>
        <w:t>One way is by setting the corresponding securities’ book yield to zero. Only sell if they are in the account, AND if they are not excluded by the constraints</w:t>
      </w:r>
      <w:r w:rsidR="00953CFF">
        <w:rPr>
          <w:rFonts w:ascii="Times New Roman" w:hAnsi="Times New Roman" w:cs="Times New Roman"/>
          <w:sz w:val="24"/>
          <w:szCs w:val="24"/>
        </w:rPr>
        <w:t>.</w:t>
      </w:r>
    </w:p>
    <w:p w14:paraId="701D1762" w14:textId="4A66690A" w:rsidR="00953CFF" w:rsidRPr="009F0683" w:rsidRDefault="00953CFF" w:rsidP="009F0683">
      <w:pPr>
        <w:pStyle w:val="ListParagraph"/>
        <w:numPr>
          <w:ilvl w:val="0"/>
          <w:numId w:val="85"/>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Priority Sell Filters Criterion</w:t>
      </w:r>
      <w:r w:rsidRPr="00953CFF">
        <w:rPr>
          <w:rFonts w:ascii="Times New Roman" w:hAnsi="Times New Roman" w:cs="Times New Roman"/>
          <w:sz w:val="24"/>
          <w:szCs w:val="24"/>
        </w:rPr>
        <w:t>:</w:t>
      </w:r>
      <w:r>
        <w:rPr>
          <w:rFonts w:ascii="Times New Roman" w:hAnsi="Times New Roman" w:cs="Times New Roman"/>
          <w:sz w:val="24"/>
          <w:szCs w:val="24"/>
        </w:rPr>
        <w:t xml:space="preserve"> Muni Credit Flag, Muni Credit Trend, Muni Credit Rating. Instrument Type.</w:t>
      </w:r>
    </w:p>
    <w:p w14:paraId="2DF7E399" w14:textId="77777777" w:rsidR="009F0683" w:rsidRDefault="009F0683" w:rsidP="001A4F8D">
      <w:pPr>
        <w:spacing w:line="360" w:lineRule="auto"/>
        <w:rPr>
          <w:rFonts w:ascii="Times New Roman" w:hAnsi="Times New Roman" w:cs="Times New Roman"/>
          <w:sz w:val="24"/>
          <w:szCs w:val="24"/>
        </w:rPr>
      </w:pPr>
    </w:p>
    <w:p w14:paraId="64DC6F06" w14:textId="77777777" w:rsidR="00CD660E" w:rsidRDefault="00CD660E" w:rsidP="001A4F8D">
      <w:pPr>
        <w:spacing w:line="360" w:lineRule="auto"/>
        <w:rPr>
          <w:rFonts w:ascii="Times New Roman" w:hAnsi="Times New Roman" w:cs="Times New Roman"/>
          <w:sz w:val="24"/>
          <w:szCs w:val="24"/>
        </w:rPr>
      </w:pPr>
    </w:p>
    <w:p w14:paraId="3EE7DB0F" w14:textId="4679A8DC" w:rsidR="00CD660E" w:rsidRPr="00AA23C8" w:rsidRDefault="00CD660E" w:rsidP="001A4F8D">
      <w:pPr>
        <w:spacing w:line="360" w:lineRule="auto"/>
        <w:rPr>
          <w:rFonts w:ascii="Times New Roman" w:hAnsi="Times New Roman" w:cs="Times New Roman"/>
          <w:b/>
          <w:bCs/>
          <w:sz w:val="28"/>
          <w:szCs w:val="28"/>
        </w:rPr>
      </w:pPr>
      <w:r w:rsidRPr="00AA23C8">
        <w:rPr>
          <w:rFonts w:ascii="Times New Roman" w:hAnsi="Times New Roman" w:cs="Times New Roman"/>
          <w:b/>
          <w:bCs/>
          <w:sz w:val="28"/>
          <w:szCs w:val="28"/>
        </w:rPr>
        <w:t>Workflow</w:t>
      </w:r>
    </w:p>
    <w:p w14:paraId="32C2CC56" w14:textId="77777777" w:rsidR="00CD660E" w:rsidRDefault="00CD660E" w:rsidP="001A4F8D">
      <w:pPr>
        <w:spacing w:line="360" w:lineRule="auto"/>
        <w:rPr>
          <w:rFonts w:ascii="Times New Roman" w:hAnsi="Times New Roman" w:cs="Times New Roman"/>
          <w:sz w:val="24"/>
          <w:szCs w:val="24"/>
        </w:rPr>
      </w:pPr>
    </w:p>
    <w:p w14:paraId="23E0997E" w14:textId="04C1CA9E" w:rsid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t>Invoke all Sell-only Scenarios</w:t>
      </w:r>
      <w:r w:rsidRPr="00CD660E">
        <w:rPr>
          <w:rFonts w:ascii="Times New Roman" w:hAnsi="Times New Roman" w:cs="Times New Roman"/>
          <w:sz w:val="24"/>
          <w:szCs w:val="24"/>
        </w:rPr>
        <w:t>: To generate the list of adjusted target accounts:</w:t>
      </w:r>
    </w:p>
    <w:p w14:paraId="6DDA88BA" w14:textId="26463CB6"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 Maximize Duration Rebalancer Scenario</w:t>
      </w:r>
    </w:p>
    <w:p w14:paraId="15718E7A" w14:textId="7CD2E624"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Sell-only-within-Duration Rebalancer Scenario</w:t>
      </w:r>
    </w:p>
    <w:p w14:paraId="78406452" w14:textId="731BB90F"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All-sells Rebalancer Scenario</w:t>
      </w:r>
    </w:p>
    <w:p w14:paraId="120CC04C" w14:textId="6A4492AF" w:rsidR="00CD660E" w:rsidRP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lastRenderedPageBreak/>
        <w:t>Remove Over-sells</w:t>
      </w:r>
      <w:r>
        <w:rPr>
          <w:rFonts w:ascii="Times New Roman" w:hAnsi="Times New Roman" w:cs="Times New Roman"/>
          <w:sz w:val="24"/>
          <w:szCs w:val="24"/>
        </w:rPr>
        <w:t>: Oversells across the scenarios are removed using an additional scenario that generates the target cash.</w:t>
      </w:r>
    </w:p>
    <w:p w14:paraId="47B51040" w14:textId="1B1C8B90" w:rsidR="00AD133D" w:rsidRDefault="00AD133D">
      <w:pPr>
        <w:rPr>
          <w:rFonts w:ascii="Times New Roman" w:hAnsi="Times New Roman" w:cs="Times New Roman"/>
          <w:sz w:val="24"/>
          <w:szCs w:val="24"/>
        </w:rPr>
      </w:pPr>
      <w:r>
        <w:rPr>
          <w:rFonts w:ascii="Times New Roman" w:hAnsi="Times New Roman" w:cs="Times New Roman"/>
          <w:sz w:val="24"/>
          <w:szCs w:val="24"/>
        </w:rPr>
        <w:br w:type="page"/>
      </w:r>
    </w:p>
    <w:p w14:paraId="3122D0AE" w14:textId="77777777" w:rsidR="00CD660E" w:rsidRDefault="00CD660E" w:rsidP="001A4F8D">
      <w:pPr>
        <w:spacing w:line="360" w:lineRule="auto"/>
        <w:rPr>
          <w:rFonts w:ascii="Times New Roman" w:hAnsi="Times New Roman" w:cs="Times New Roman"/>
          <w:sz w:val="24"/>
          <w:szCs w:val="24"/>
        </w:rPr>
      </w:pPr>
    </w:p>
    <w:p w14:paraId="35EA5D0B" w14:textId="7B8BCCFB" w:rsidR="00AD133D" w:rsidRPr="00154B4C" w:rsidRDefault="00AD133D" w:rsidP="00154B4C">
      <w:pPr>
        <w:spacing w:line="360" w:lineRule="auto"/>
        <w:jc w:val="center"/>
        <w:rPr>
          <w:rFonts w:ascii="Times New Roman" w:hAnsi="Times New Roman" w:cs="Times New Roman"/>
          <w:b/>
          <w:bCs/>
          <w:sz w:val="32"/>
          <w:szCs w:val="32"/>
        </w:rPr>
      </w:pPr>
      <w:r w:rsidRPr="00154B4C">
        <w:rPr>
          <w:rFonts w:ascii="Times New Roman" w:hAnsi="Times New Roman" w:cs="Times New Roman"/>
          <w:b/>
          <w:bCs/>
          <w:sz w:val="32"/>
          <w:szCs w:val="32"/>
        </w:rPr>
        <w:t>Seven Execution Algorithms</w:t>
      </w:r>
    </w:p>
    <w:p w14:paraId="54E2EC52" w14:textId="77777777" w:rsidR="00AD133D" w:rsidRDefault="00AD133D" w:rsidP="001A4F8D">
      <w:pPr>
        <w:spacing w:line="360" w:lineRule="auto"/>
        <w:rPr>
          <w:rFonts w:ascii="Times New Roman" w:hAnsi="Times New Roman" w:cs="Times New Roman"/>
          <w:sz w:val="24"/>
          <w:szCs w:val="24"/>
        </w:rPr>
      </w:pPr>
    </w:p>
    <w:p w14:paraId="6BEC4889" w14:textId="77777777" w:rsidR="00AD133D" w:rsidRDefault="00AD133D" w:rsidP="001A4F8D">
      <w:pPr>
        <w:spacing w:line="360" w:lineRule="auto"/>
        <w:rPr>
          <w:rFonts w:ascii="Times New Roman" w:hAnsi="Times New Roman" w:cs="Times New Roman"/>
          <w:sz w:val="24"/>
          <w:szCs w:val="24"/>
        </w:rPr>
      </w:pPr>
    </w:p>
    <w:p w14:paraId="76FBBA36" w14:textId="55423000" w:rsidR="00AD133D" w:rsidRPr="00154B4C" w:rsidRDefault="00AD133D" w:rsidP="001A4F8D">
      <w:pPr>
        <w:spacing w:line="360" w:lineRule="auto"/>
        <w:rPr>
          <w:rFonts w:ascii="Times New Roman" w:hAnsi="Times New Roman" w:cs="Times New Roman"/>
          <w:b/>
          <w:bCs/>
          <w:sz w:val="28"/>
          <w:szCs w:val="28"/>
        </w:rPr>
      </w:pPr>
      <w:r w:rsidRPr="00154B4C">
        <w:rPr>
          <w:rFonts w:ascii="Times New Roman" w:hAnsi="Times New Roman" w:cs="Times New Roman"/>
          <w:b/>
          <w:bCs/>
          <w:sz w:val="28"/>
          <w:szCs w:val="28"/>
        </w:rPr>
        <w:t>Introduction</w:t>
      </w:r>
    </w:p>
    <w:p w14:paraId="797D8059" w14:textId="77777777" w:rsidR="00AD133D" w:rsidRDefault="00AD133D" w:rsidP="001A4F8D">
      <w:pPr>
        <w:spacing w:line="360" w:lineRule="auto"/>
        <w:rPr>
          <w:rFonts w:ascii="Times New Roman" w:hAnsi="Times New Roman" w:cs="Times New Roman"/>
          <w:sz w:val="24"/>
          <w:szCs w:val="24"/>
        </w:rPr>
      </w:pPr>
    </w:p>
    <w:p w14:paraId="64301D97" w14:textId="5B4665AA" w:rsidR="00AD133D" w:rsidRDefault="00AD133D" w:rsidP="00154B4C">
      <w:pPr>
        <w:pStyle w:val="ListParagraph"/>
        <w:numPr>
          <w:ilvl w:val="0"/>
          <w:numId w:val="87"/>
        </w:numPr>
        <w:spacing w:line="360" w:lineRule="auto"/>
        <w:rPr>
          <w:rFonts w:ascii="Times New Roman" w:hAnsi="Times New Roman" w:cs="Times New Roman"/>
          <w:sz w:val="24"/>
          <w:szCs w:val="24"/>
        </w:rPr>
      </w:pPr>
      <w:r w:rsidRPr="00154B4C">
        <w:rPr>
          <w:rFonts w:ascii="Times New Roman" w:hAnsi="Times New Roman" w:cs="Times New Roman"/>
          <w:sz w:val="24"/>
          <w:szCs w:val="24"/>
          <w:u w:val="single"/>
        </w:rPr>
        <w:t>Definition of Algorithmic Trading</w:t>
      </w:r>
      <w:r w:rsidRPr="00154B4C">
        <w:rPr>
          <w:rFonts w:ascii="Times New Roman" w:hAnsi="Times New Roman" w:cs="Times New Roman"/>
          <w:sz w:val="24"/>
          <w:szCs w:val="24"/>
        </w:rPr>
        <w:t>: Algorithmic Trading is the process of</w:t>
      </w:r>
      <w:r w:rsidR="00154B4C" w:rsidRPr="00154B4C">
        <w:rPr>
          <w:rFonts w:ascii="Times New Roman" w:hAnsi="Times New Roman" w:cs="Times New Roman"/>
          <w:sz w:val="24"/>
          <w:szCs w:val="24"/>
        </w:rPr>
        <w:t xml:space="preserve"> executing trades/transactions in the market automatically. As an example, instead of looking for a trend reversal or a channel breakout to buy 100 shares of XYZ, a computer program does it all.</w:t>
      </w:r>
    </w:p>
    <w:p w14:paraId="4EEAD38E" w14:textId="22A99DB3" w:rsidR="00C246DB" w:rsidRDefault="00C246DB" w:rsidP="00154B4C">
      <w:pPr>
        <w:pStyle w:val="ListParagraph"/>
        <w:numPr>
          <w:ilvl w:val="0"/>
          <w:numId w:val="87"/>
        </w:numPr>
        <w:spacing w:line="360" w:lineRule="auto"/>
        <w:rPr>
          <w:rFonts w:ascii="Times New Roman" w:hAnsi="Times New Roman" w:cs="Times New Roman"/>
          <w:sz w:val="24"/>
          <w:szCs w:val="24"/>
        </w:rPr>
      </w:pPr>
      <w:r>
        <w:rPr>
          <w:rFonts w:ascii="Times New Roman" w:hAnsi="Times New Roman" w:cs="Times New Roman"/>
          <w:sz w:val="24"/>
          <w:szCs w:val="24"/>
          <w:u w:val="single"/>
        </w:rPr>
        <w:t>Mechanics of Algorithmic Trading</w:t>
      </w:r>
      <w:r w:rsidRPr="00C246DB">
        <w:rPr>
          <w:rFonts w:ascii="Times New Roman" w:hAnsi="Times New Roman" w:cs="Times New Roman"/>
          <w:sz w:val="24"/>
          <w:szCs w:val="24"/>
        </w:rPr>
        <w:t>:</w:t>
      </w:r>
      <w:r>
        <w:rPr>
          <w:rFonts w:ascii="Times New Roman" w:hAnsi="Times New Roman" w:cs="Times New Roman"/>
          <w:sz w:val="24"/>
          <w:szCs w:val="24"/>
        </w:rPr>
        <w:t xml:space="preserve"> The program would be coded to look for certain signals in the movement of the stock price, volume, or even other correlated stocks, depending on your trading strategy,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send a buy/sell signal and execute the order. All this in seconds.</w:t>
      </w:r>
    </w:p>
    <w:p w14:paraId="3745CC53" w14:textId="77777777" w:rsidR="00D01B16" w:rsidRDefault="00D01B16" w:rsidP="00D01B16">
      <w:pPr>
        <w:spacing w:line="360" w:lineRule="auto"/>
        <w:rPr>
          <w:rFonts w:ascii="Times New Roman" w:hAnsi="Times New Roman" w:cs="Times New Roman"/>
          <w:sz w:val="24"/>
          <w:szCs w:val="24"/>
        </w:rPr>
      </w:pPr>
    </w:p>
    <w:p w14:paraId="0EDB349C" w14:textId="77777777" w:rsidR="00D01B16" w:rsidRDefault="00D01B16" w:rsidP="00D01B16">
      <w:pPr>
        <w:spacing w:line="360" w:lineRule="auto"/>
        <w:rPr>
          <w:rFonts w:ascii="Times New Roman" w:hAnsi="Times New Roman" w:cs="Times New Roman"/>
          <w:sz w:val="24"/>
          <w:szCs w:val="24"/>
        </w:rPr>
      </w:pPr>
    </w:p>
    <w:p w14:paraId="1E40D47F" w14:textId="3BFE469B" w:rsidR="00D01B16" w:rsidRPr="00D01B16" w:rsidRDefault="00D01B16" w:rsidP="00D01B16">
      <w:pPr>
        <w:spacing w:line="360" w:lineRule="auto"/>
        <w:rPr>
          <w:rFonts w:ascii="Times New Roman" w:hAnsi="Times New Roman" w:cs="Times New Roman"/>
          <w:b/>
          <w:bCs/>
          <w:sz w:val="28"/>
          <w:szCs w:val="28"/>
        </w:rPr>
      </w:pPr>
      <w:r w:rsidRPr="00D01B16">
        <w:rPr>
          <w:rFonts w:ascii="Times New Roman" w:hAnsi="Times New Roman" w:cs="Times New Roman"/>
          <w:b/>
          <w:bCs/>
          <w:sz w:val="28"/>
          <w:szCs w:val="28"/>
        </w:rPr>
        <w:t>Why are Algorithmic Strategies Used</w:t>
      </w:r>
    </w:p>
    <w:p w14:paraId="60A6BB68" w14:textId="77777777" w:rsidR="00D01B16" w:rsidRDefault="00D01B16" w:rsidP="00D01B16">
      <w:pPr>
        <w:spacing w:line="360" w:lineRule="auto"/>
        <w:rPr>
          <w:rFonts w:ascii="Times New Roman" w:hAnsi="Times New Roman" w:cs="Times New Roman"/>
          <w:sz w:val="24"/>
          <w:szCs w:val="24"/>
        </w:rPr>
      </w:pPr>
    </w:p>
    <w:p w14:paraId="2E777997" w14:textId="2EB123D4" w:rsidR="00D01B16" w:rsidRDefault="00D01B16" w:rsidP="00D01B16">
      <w:pPr>
        <w:pStyle w:val="ListParagraph"/>
        <w:numPr>
          <w:ilvl w:val="0"/>
          <w:numId w:val="88"/>
        </w:numPr>
        <w:spacing w:line="360" w:lineRule="auto"/>
        <w:rPr>
          <w:rFonts w:ascii="Times New Roman" w:hAnsi="Times New Roman" w:cs="Times New Roman"/>
          <w:sz w:val="24"/>
          <w:szCs w:val="24"/>
        </w:rPr>
      </w:pPr>
      <w:r w:rsidRPr="00D01B16">
        <w:rPr>
          <w:rFonts w:ascii="Times New Roman" w:hAnsi="Times New Roman" w:cs="Times New Roman"/>
          <w:sz w:val="24"/>
          <w:szCs w:val="24"/>
          <w:u w:val="single"/>
        </w:rPr>
        <w:t>Speed and Efficiency</w:t>
      </w:r>
      <w:r w:rsidRPr="00D01B16">
        <w:rPr>
          <w:rFonts w:ascii="Times New Roman" w:hAnsi="Times New Roman" w:cs="Times New Roman"/>
          <w:sz w:val="24"/>
          <w:szCs w:val="24"/>
        </w:rPr>
        <w:t>: Algorithms can process and react to market data much faster than humans.</w:t>
      </w:r>
    </w:p>
    <w:p w14:paraId="3B26A71D" w14:textId="56F46836" w:rsidR="00D01B16" w:rsidRDefault="00D01B16" w:rsidP="00D01B16">
      <w:pPr>
        <w:pStyle w:val="ListParagraph"/>
        <w:numPr>
          <w:ilvl w:val="0"/>
          <w:numId w:val="88"/>
        </w:numPr>
        <w:spacing w:line="360" w:lineRule="auto"/>
        <w:rPr>
          <w:rFonts w:ascii="Times New Roman" w:hAnsi="Times New Roman" w:cs="Times New Roman"/>
          <w:sz w:val="24"/>
          <w:szCs w:val="24"/>
        </w:rPr>
      </w:pPr>
      <w:r>
        <w:rPr>
          <w:rFonts w:ascii="Times New Roman" w:hAnsi="Times New Roman" w:cs="Times New Roman"/>
          <w:sz w:val="24"/>
          <w:szCs w:val="24"/>
          <w:u w:val="single"/>
        </w:rPr>
        <w:t>Cost Reduction</w:t>
      </w:r>
      <w:r w:rsidRPr="00D01B16">
        <w:rPr>
          <w:rFonts w:ascii="Times New Roman" w:hAnsi="Times New Roman" w:cs="Times New Roman"/>
          <w:sz w:val="24"/>
          <w:szCs w:val="24"/>
        </w:rPr>
        <w:t>:</w:t>
      </w:r>
      <w:r>
        <w:rPr>
          <w:rFonts w:ascii="Times New Roman" w:hAnsi="Times New Roman" w:cs="Times New Roman"/>
          <w:sz w:val="24"/>
          <w:szCs w:val="24"/>
        </w:rPr>
        <w:t xml:space="preserve"> Lower transaction costs due to reduced need for hum intervention and optimized execution.</w:t>
      </w:r>
    </w:p>
    <w:p w14:paraId="5CDFC728" w14:textId="5FBE24EA" w:rsidR="00D01B16" w:rsidRDefault="00D01B16" w:rsidP="00D01B16">
      <w:pPr>
        <w:pStyle w:val="ListParagraph"/>
        <w:numPr>
          <w:ilvl w:val="0"/>
          <w:numId w:val="88"/>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w:t>
      </w:r>
      <w:r w:rsidRPr="00D01B16">
        <w:rPr>
          <w:rFonts w:ascii="Times New Roman" w:hAnsi="Times New Roman" w:cs="Times New Roman"/>
          <w:sz w:val="24"/>
          <w:szCs w:val="24"/>
        </w:rPr>
        <w:t>:</w:t>
      </w:r>
      <w:r>
        <w:rPr>
          <w:rFonts w:ascii="Times New Roman" w:hAnsi="Times New Roman" w:cs="Times New Roman"/>
          <w:sz w:val="24"/>
          <w:szCs w:val="24"/>
        </w:rPr>
        <w:t xml:space="preserve"> Algorithms follow pre-defined rules without human bias, </w:t>
      </w:r>
      <w:r w:rsidR="00723BBE">
        <w:rPr>
          <w:rFonts w:ascii="Times New Roman" w:hAnsi="Times New Roman" w:cs="Times New Roman"/>
          <w:sz w:val="24"/>
          <w:szCs w:val="24"/>
        </w:rPr>
        <w:t>leading to more consistent trading performance.</w:t>
      </w:r>
    </w:p>
    <w:p w14:paraId="03C79EA2" w14:textId="3D158DD0" w:rsidR="00723BBE" w:rsidRDefault="00723BBE" w:rsidP="00D01B16">
      <w:pPr>
        <w:pStyle w:val="ListParagraph"/>
        <w:numPr>
          <w:ilvl w:val="0"/>
          <w:numId w:val="88"/>
        </w:numPr>
        <w:spacing w:line="360" w:lineRule="auto"/>
        <w:rPr>
          <w:rFonts w:ascii="Times New Roman" w:hAnsi="Times New Roman" w:cs="Times New Roman"/>
          <w:sz w:val="24"/>
          <w:szCs w:val="24"/>
        </w:rPr>
      </w:pPr>
      <w:r>
        <w:rPr>
          <w:rFonts w:ascii="Times New Roman" w:hAnsi="Times New Roman" w:cs="Times New Roman"/>
          <w:sz w:val="24"/>
          <w:szCs w:val="24"/>
          <w:u w:val="single"/>
        </w:rPr>
        <w:t>Scalability</w:t>
      </w:r>
      <w:r w:rsidRPr="00723BBE">
        <w:rPr>
          <w:rFonts w:ascii="Times New Roman" w:hAnsi="Times New Roman" w:cs="Times New Roman"/>
          <w:sz w:val="24"/>
          <w:szCs w:val="24"/>
        </w:rPr>
        <w:t>:</w:t>
      </w:r>
      <w:r>
        <w:rPr>
          <w:rFonts w:ascii="Times New Roman" w:hAnsi="Times New Roman" w:cs="Times New Roman"/>
          <w:sz w:val="24"/>
          <w:szCs w:val="24"/>
        </w:rPr>
        <w:t xml:space="preserve"> Ability to manage and execute large volumes of trades simultaneously.</w:t>
      </w:r>
    </w:p>
    <w:p w14:paraId="5EAED8E5" w14:textId="3F791A05" w:rsidR="007040EE" w:rsidRDefault="007040EE" w:rsidP="00D01B16">
      <w:pPr>
        <w:pStyle w:val="ListParagraph"/>
        <w:numPr>
          <w:ilvl w:val="0"/>
          <w:numId w:val="88"/>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Liquidity</w:t>
      </w:r>
      <w:r w:rsidRPr="007040EE">
        <w:rPr>
          <w:rFonts w:ascii="Times New Roman" w:hAnsi="Times New Roman" w:cs="Times New Roman"/>
          <w:sz w:val="24"/>
          <w:szCs w:val="24"/>
        </w:rPr>
        <w:t>:</w:t>
      </w:r>
      <w:r>
        <w:rPr>
          <w:rFonts w:ascii="Times New Roman" w:hAnsi="Times New Roman" w:cs="Times New Roman"/>
          <w:sz w:val="24"/>
          <w:szCs w:val="24"/>
        </w:rPr>
        <w:t xml:space="preserve"> Increased liquidity as algorithms continuously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and sell assets.</w:t>
      </w:r>
    </w:p>
    <w:p w14:paraId="1A0B0713" w14:textId="1CAB0C06" w:rsidR="007040EE" w:rsidRDefault="007040EE" w:rsidP="00D01B16">
      <w:pPr>
        <w:pStyle w:val="ListParagraph"/>
        <w:numPr>
          <w:ilvl w:val="0"/>
          <w:numId w:val="8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Complex Strategies</w:t>
      </w:r>
      <w:r w:rsidRPr="007040EE">
        <w:rPr>
          <w:rFonts w:ascii="Times New Roman" w:hAnsi="Times New Roman" w:cs="Times New Roman"/>
          <w:sz w:val="24"/>
          <w:szCs w:val="24"/>
        </w:rPr>
        <w:t>:</w:t>
      </w:r>
      <w:r>
        <w:rPr>
          <w:rFonts w:ascii="Times New Roman" w:hAnsi="Times New Roman" w:cs="Times New Roman"/>
          <w:sz w:val="24"/>
          <w:szCs w:val="24"/>
        </w:rPr>
        <w:t xml:space="preserve"> Capability to implement complex trading strategies that are difficult for humans to execute manually.</w:t>
      </w:r>
    </w:p>
    <w:p w14:paraId="36AC4963" w14:textId="77777777" w:rsidR="007040EE" w:rsidRDefault="007040EE" w:rsidP="007040EE">
      <w:pPr>
        <w:spacing w:line="360" w:lineRule="auto"/>
        <w:rPr>
          <w:rFonts w:ascii="Times New Roman" w:hAnsi="Times New Roman" w:cs="Times New Roman"/>
          <w:sz w:val="24"/>
          <w:szCs w:val="24"/>
        </w:rPr>
      </w:pPr>
    </w:p>
    <w:p w14:paraId="7FEC8B52" w14:textId="77777777" w:rsidR="007040EE" w:rsidRDefault="007040EE" w:rsidP="007040EE">
      <w:pPr>
        <w:spacing w:line="360" w:lineRule="auto"/>
        <w:rPr>
          <w:rFonts w:ascii="Times New Roman" w:hAnsi="Times New Roman" w:cs="Times New Roman"/>
          <w:sz w:val="24"/>
          <w:szCs w:val="24"/>
        </w:rPr>
      </w:pPr>
    </w:p>
    <w:p w14:paraId="79B38AEC" w14:textId="6906EC4D" w:rsidR="007040EE" w:rsidRPr="007040EE" w:rsidRDefault="007040EE" w:rsidP="007040EE">
      <w:pPr>
        <w:spacing w:line="360" w:lineRule="auto"/>
        <w:rPr>
          <w:rFonts w:ascii="Times New Roman" w:hAnsi="Times New Roman" w:cs="Times New Roman"/>
          <w:b/>
          <w:bCs/>
          <w:sz w:val="28"/>
          <w:szCs w:val="28"/>
        </w:rPr>
      </w:pPr>
      <w:r w:rsidRPr="007040EE">
        <w:rPr>
          <w:rFonts w:ascii="Times New Roman" w:hAnsi="Times New Roman" w:cs="Times New Roman"/>
          <w:b/>
          <w:bCs/>
          <w:sz w:val="28"/>
          <w:szCs w:val="28"/>
        </w:rPr>
        <w:t>Types of Algorithms Used for Order Execution</w:t>
      </w:r>
    </w:p>
    <w:p w14:paraId="3D6466AF" w14:textId="77777777" w:rsidR="007040EE" w:rsidRDefault="007040EE" w:rsidP="007040EE">
      <w:pPr>
        <w:spacing w:line="360" w:lineRule="auto"/>
        <w:rPr>
          <w:rFonts w:ascii="Times New Roman" w:hAnsi="Times New Roman" w:cs="Times New Roman"/>
          <w:sz w:val="24"/>
          <w:szCs w:val="24"/>
        </w:rPr>
      </w:pPr>
    </w:p>
    <w:p w14:paraId="3353C4E5" w14:textId="118B0DA0" w:rsidR="007040EE" w:rsidRPr="007040EE" w:rsidRDefault="007040EE" w:rsidP="007040EE">
      <w:pPr>
        <w:pStyle w:val="ListParagraph"/>
        <w:numPr>
          <w:ilvl w:val="0"/>
          <w:numId w:val="89"/>
        </w:numPr>
        <w:spacing w:line="360" w:lineRule="auto"/>
        <w:rPr>
          <w:rFonts w:ascii="Times New Roman" w:hAnsi="Times New Roman" w:cs="Times New Roman"/>
          <w:sz w:val="24"/>
          <w:szCs w:val="24"/>
        </w:rPr>
      </w:pPr>
      <w:r w:rsidRPr="007040EE">
        <w:rPr>
          <w:rFonts w:ascii="Times New Roman" w:hAnsi="Times New Roman" w:cs="Times New Roman"/>
          <w:sz w:val="24"/>
          <w:szCs w:val="24"/>
          <w:u w:val="single"/>
        </w:rPr>
        <w:t>Volume Weighted Average Price VWAP</w:t>
      </w:r>
      <w:r w:rsidRPr="007040EE">
        <w:rPr>
          <w:rFonts w:ascii="Times New Roman" w:hAnsi="Times New Roman" w:cs="Times New Roman"/>
          <w:sz w:val="24"/>
          <w:szCs w:val="24"/>
        </w:rPr>
        <w:t>: VWAP is the average price of a security weighted by the trading volume over a specific period. It is used to measure the performance of trade executions against the overall market.</w:t>
      </w:r>
    </w:p>
    <w:p w14:paraId="52B57C34" w14:textId="77777777" w:rsidR="00AD133D" w:rsidRPr="001A4F8D" w:rsidRDefault="00AD133D" w:rsidP="001A4F8D">
      <w:pPr>
        <w:spacing w:line="360" w:lineRule="auto"/>
        <w:rPr>
          <w:rFonts w:ascii="Times New Roman" w:hAnsi="Times New Roman" w:cs="Times New Roman"/>
          <w:sz w:val="24"/>
          <w:szCs w:val="24"/>
        </w:rPr>
      </w:pPr>
    </w:p>
    <w:sectPr w:rsidR="00AD133D" w:rsidRPr="001A4F8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CD3BE" w14:textId="77777777" w:rsidR="00F60EFF" w:rsidRDefault="00F60EFF" w:rsidP="00B479DC">
      <w:pPr>
        <w:spacing w:after="0" w:line="240" w:lineRule="auto"/>
      </w:pPr>
      <w:r>
        <w:separator/>
      </w:r>
    </w:p>
  </w:endnote>
  <w:endnote w:type="continuationSeparator" w:id="0">
    <w:p w14:paraId="1640F4FF" w14:textId="77777777" w:rsidR="00F60EFF" w:rsidRDefault="00F60EFF"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9D748" w14:textId="77777777" w:rsidR="00F60EFF" w:rsidRDefault="00F60EFF" w:rsidP="00B479DC">
      <w:pPr>
        <w:spacing w:after="0" w:line="240" w:lineRule="auto"/>
      </w:pPr>
      <w:r>
        <w:separator/>
      </w:r>
    </w:p>
  </w:footnote>
  <w:footnote w:type="continuationSeparator" w:id="0">
    <w:p w14:paraId="10F84840" w14:textId="77777777" w:rsidR="00F60EFF" w:rsidRDefault="00F60EFF"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3E31540"/>
    <w:multiLevelType w:val="hybridMultilevel"/>
    <w:tmpl w:val="D0FE4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DAB4BEC"/>
    <w:multiLevelType w:val="hybridMultilevel"/>
    <w:tmpl w:val="BEC29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211BF8"/>
    <w:multiLevelType w:val="hybridMultilevel"/>
    <w:tmpl w:val="7C6EF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C7E266F"/>
    <w:multiLevelType w:val="hybridMultilevel"/>
    <w:tmpl w:val="5F361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F157FF1"/>
    <w:multiLevelType w:val="hybridMultilevel"/>
    <w:tmpl w:val="23EA3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6D11CAD"/>
    <w:multiLevelType w:val="hybridMultilevel"/>
    <w:tmpl w:val="B832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507609D"/>
    <w:multiLevelType w:val="hybridMultilevel"/>
    <w:tmpl w:val="7074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7"/>
  </w:num>
  <w:num w:numId="2" w16cid:durableId="1370884117">
    <w:abstractNumId w:val="10"/>
  </w:num>
  <w:num w:numId="3" w16cid:durableId="1740204297">
    <w:abstractNumId w:val="83"/>
  </w:num>
  <w:num w:numId="4" w16cid:durableId="2067530606">
    <w:abstractNumId w:val="88"/>
  </w:num>
  <w:num w:numId="5" w16cid:durableId="1033919987">
    <w:abstractNumId w:val="13"/>
  </w:num>
  <w:num w:numId="6" w16cid:durableId="1233809991">
    <w:abstractNumId w:val="18"/>
  </w:num>
  <w:num w:numId="7" w16cid:durableId="1637493497">
    <w:abstractNumId w:val="43"/>
  </w:num>
  <w:num w:numId="8" w16cid:durableId="373239253">
    <w:abstractNumId w:val="65"/>
  </w:num>
  <w:num w:numId="9" w16cid:durableId="567348206">
    <w:abstractNumId w:val="28"/>
  </w:num>
  <w:num w:numId="10" w16cid:durableId="1297686917">
    <w:abstractNumId w:val="46"/>
  </w:num>
  <w:num w:numId="11" w16cid:durableId="1355154516">
    <w:abstractNumId w:val="29"/>
  </w:num>
  <w:num w:numId="12" w16cid:durableId="587540028">
    <w:abstractNumId w:val="48"/>
  </w:num>
  <w:num w:numId="13" w16cid:durableId="752707543">
    <w:abstractNumId w:val="31"/>
  </w:num>
  <w:num w:numId="14" w16cid:durableId="635335823">
    <w:abstractNumId w:val="64"/>
  </w:num>
  <w:num w:numId="15" w16cid:durableId="40833041">
    <w:abstractNumId w:val="41"/>
  </w:num>
  <w:num w:numId="16" w16cid:durableId="551114227">
    <w:abstractNumId w:val="78"/>
  </w:num>
  <w:num w:numId="17" w16cid:durableId="1798639831">
    <w:abstractNumId w:val="1"/>
  </w:num>
  <w:num w:numId="18" w16cid:durableId="868179906">
    <w:abstractNumId w:val="47"/>
  </w:num>
  <w:num w:numId="19" w16cid:durableId="701519897">
    <w:abstractNumId w:val="11"/>
  </w:num>
  <w:num w:numId="20" w16cid:durableId="75632823">
    <w:abstractNumId w:val="68"/>
  </w:num>
  <w:num w:numId="21" w16cid:durableId="1245410354">
    <w:abstractNumId w:val="12"/>
  </w:num>
  <w:num w:numId="22" w16cid:durableId="1234509375">
    <w:abstractNumId w:val="22"/>
  </w:num>
  <w:num w:numId="23" w16cid:durableId="1883127437">
    <w:abstractNumId w:val="59"/>
  </w:num>
  <w:num w:numId="24" w16cid:durableId="785082388">
    <w:abstractNumId w:val="30"/>
  </w:num>
  <w:num w:numId="25" w16cid:durableId="2071464317">
    <w:abstractNumId w:val="63"/>
  </w:num>
  <w:num w:numId="26" w16cid:durableId="272909702">
    <w:abstractNumId w:val="6"/>
  </w:num>
  <w:num w:numId="27" w16cid:durableId="1036277067">
    <w:abstractNumId w:val="25"/>
  </w:num>
  <w:num w:numId="28" w16cid:durableId="1728649938">
    <w:abstractNumId w:val="57"/>
  </w:num>
  <w:num w:numId="29" w16cid:durableId="480463083">
    <w:abstractNumId w:val="34"/>
  </w:num>
  <w:num w:numId="30" w16cid:durableId="985931575">
    <w:abstractNumId w:val="15"/>
  </w:num>
  <w:num w:numId="31" w16cid:durableId="1302923230">
    <w:abstractNumId w:val="44"/>
  </w:num>
  <w:num w:numId="32" w16cid:durableId="299311359">
    <w:abstractNumId w:val="9"/>
  </w:num>
  <w:num w:numId="33" w16cid:durableId="1081296375">
    <w:abstractNumId w:val="85"/>
  </w:num>
  <w:num w:numId="34" w16cid:durableId="140730327">
    <w:abstractNumId w:val="23"/>
  </w:num>
  <w:num w:numId="35" w16cid:durableId="632298078">
    <w:abstractNumId w:val="19"/>
  </w:num>
  <w:num w:numId="36" w16cid:durableId="1801413325">
    <w:abstractNumId w:val="7"/>
  </w:num>
  <w:num w:numId="37" w16cid:durableId="1441101859">
    <w:abstractNumId w:val="80"/>
  </w:num>
  <w:num w:numId="38" w16cid:durableId="1674644738">
    <w:abstractNumId w:val="67"/>
  </w:num>
  <w:num w:numId="39" w16cid:durableId="2118914126">
    <w:abstractNumId w:val="38"/>
  </w:num>
  <w:num w:numId="40" w16cid:durableId="1776052830">
    <w:abstractNumId w:val="52"/>
  </w:num>
  <w:num w:numId="41" w16cid:durableId="594020566">
    <w:abstractNumId w:val="5"/>
  </w:num>
  <w:num w:numId="42" w16cid:durableId="416485055">
    <w:abstractNumId w:val="21"/>
  </w:num>
  <w:num w:numId="43" w16cid:durableId="1838809154">
    <w:abstractNumId w:val="79"/>
  </w:num>
  <w:num w:numId="44" w16cid:durableId="1688095302">
    <w:abstractNumId w:val="56"/>
  </w:num>
  <w:num w:numId="45" w16cid:durableId="865942645">
    <w:abstractNumId w:val="76"/>
  </w:num>
  <w:num w:numId="46" w16cid:durableId="1448308941">
    <w:abstractNumId w:val="4"/>
  </w:num>
  <w:num w:numId="47" w16cid:durableId="677730983">
    <w:abstractNumId w:val="37"/>
  </w:num>
  <w:num w:numId="48" w16cid:durableId="693382168">
    <w:abstractNumId w:val="40"/>
  </w:num>
  <w:num w:numId="49" w16cid:durableId="1449545059">
    <w:abstractNumId w:val="55"/>
  </w:num>
  <w:num w:numId="50" w16cid:durableId="1764261063">
    <w:abstractNumId w:val="87"/>
  </w:num>
  <w:num w:numId="51" w16cid:durableId="1215308268">
    <w:abstractNumId w:val="20"/>
  </w:num>
  <w:num w:numId="52" w16cid:durableId="408381471">
    <w:abstractNumId w:val="58"/>
  </w:num>
  <w:num w:numId="53" w16cid:durableId="1565947782">
    <w:abstractNumId w:val="50"/>
  </w:num>
  <w:num w:numId="54" w16cid:durableId="1901398025">
    <w:abstractNumId w:val="32"/>
  </w:num>
  <w:num w:numId="55" w16cid:durableId="4599361">
    <w:abstractNumId w:val="33"/>
  </w:num>
  <w:num w:numId="56" w16cid:durableId="526338627">
    <w:abstractNumId w:val="36"/>
  </w:num>
  <w:num w:numId="57" w16cid:durableId="486898119">
    <w:abstractNumId w:val="2"/>
  </w:num>
  <w:num w:numId="58" w16cid:durableId="629822443">
    <w:abstractNumId w:val="35"/>
  </w:num>
  <w:num w:numId="59" w16cid:durableId="1658341922">
    <w:abstractNumId w:val="49"/>
  </w:num>
  <w:num w:numId="60" w16cid:durableId="972490273">
    <w:abstractNumId w:val="53"/>
  </w:num>
  <w:num w:numId="61" w16cid:durableId="228612621">
    <w:abstractNumId w:val="74"/>
  </w:num>
  <w:num w:numId="62" w16cid:durableId="1934706179">
    <w:abstractNumId w:val="24"/>
  </w:num>
  <w:num w:numId="63" w16cid:durableId="1340624596">
    <w:abstractNumId w:val="61"/>
  </w:num>
  <w:num w:numId="64" w16cid:durableId="1146125653">
    <w:abstractNumId w:val="84"/>
  </w:num>
  <w:num w:numId="65" w16cid:durableId="75247551">
    <w:abstractNumId w:val="86"/>
  </w:num>
  <w:num w:numId="66" w16cid:durableId="1684933596">
    <w:abstractNumId w:val="16"/>
  </w:num>
  <w:num w:numId="67" w16cid:durableId="41027138">
    <w:abstractNumId w:val="62"/>
  </w:num>
  <w:num w:numId="68" w16cid:durableId="551307764">
    <w:abstractNumId w:val="51"/>
  </w:num>
  <w:num w:numId="69" w16cid:durableId="1831289174">
    <w:abstractNumId w:val="39"/>
  </w:num>
  <w:num w:numId="70" w16cid:durableId="360015494">
    <w:abstractNumId w:val="72"/>
  </w:num>
  <w:num w:numId="71" w16cid:durableId="1476949552">
    <w:abstractNumId w:val="77"/>
  </w:num>
  <w:num w:numId="72" w16cid:durableId="394857909">
    <w:abstractNumId w:val="0"/>
  </w:num>
  <w:num w:numId="73" w16cid:durableId="1125200962">
    <w:abstractNumId w:val="82"/>
  </w:num>
  <w:num w:numId="74" w16cid:durableId="1120957377">
    <w:abstractNumId w:val="3"/>
  </w:num>
  <w:num w:numId="75" w16cid:durableId="849485996">
    <w:abstractNumId w:val="17"/>
  </w:num>
  <w:num w:numId="76" w16cid:durableId="1795056820">
    <w:abstractNumId w:val="14"/>
  </w:num>
  <w:num w:numId="77" w16cid:durableId="1026365847">
    <w:abstractNumId w:val="75"/>
  </w:num>
  <w:num w:numId="78" w16cid:durableId="1213032326">
    <w:abstractNumId w:val="42"/>
  </w:num>
  <w:num w:numId="79" w16cid:durableId="218131438">
    <w:abstractNumId w:val="71"/>
  </w:num>
  <w:num w:numId="80" w16cid:durableId="428506147">
    <w:abstractNumId w:val="26"/>
  </w:num>
  <w:num w:numId="81" w16cid:durableId="561720788">
    <w:abstractNumId w:val="70"/>
  </w:num>
  <w:num w:numId="82" w16cid:durableId="904798490">
    <w:abstractNumId w:val="8"/>
  </w:num>
  <w:num w:numId="83" w16cid:durableId="1956594284">
    <w:abstractNumId w:val="73"/>
  </w:num>
  <w:num w:numId="84" w16cid:durableId="1186747068">
    <w:abstractNumId w:val="45"/>
  </w:num>
  <w:num w:numId="85" w16cid:durableId="1718237860">
    <w:abstractNumId w:val="69"/>
  </w:num>
  <w:num w:numId="86" w16cid:durableId="2008359823">
    <w:abstractNumId w:val="60"/>
  </w:num>
  <w:num w:numId="87" w16cid:durableId="423453708">
    <w:abstractNumId w:val="81"/>
  </w:num>
  <w:num w:numId="88" w16cid:durableId="1770856862">
    <w:abstractNumId w:val="66"/>
  </w:num>
  <w:num w:numId="89" w16cid:durableId="103694495">
    <w:abstractNumId w:val="5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4B4C"/>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3A91"/>
    <w:rsid w:val="00354395"/>
    <w:rsid w:val="00354F0C"/>
    <w:rsid w:val="0036303F"/>
    <w:rsid w:val="00364307"/>
    <w:rsid w:val="00364C18"/>
    <w:rsid w:val="00365A0D"/>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C2A"/>
    <w:rsid w:val="003B6C8E"/>
    <w:rsid w:val="003B7348"/>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1E52"/>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4FF0"/>
    <w:rsid w:val="00597E1C"/>
    <w:rsid w:val="005A3BE6"/>
    <w:rsid w:val="005B0FFA"/>
    <w:rsid w:val="005B3BFF"/>
    <w:rsid w:val="005C0071"/>
    <w:rsid w:val="005C35CF"/>
    <w:rsid w:val="005C4B13"/>
    <w:rsid w:val="005C7E45"/>
    <w:rsid w:val="005E1F5A"/>
    <w:rsid w:val="005E3933"/>
    <w:rsid w:val="005E3AFB"/>
    <w:rsid w:val="005E4D78"/>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6533"/>
    <w:rsid w:val="006D7040"/>
    <w:rsid w:val="006F22FD"/>
    <w:rsid w:val="006F3E19"/>
    <w:rsid w:val="006F5C58"/>
    <w:rsid w:val="006F5DA1"/>
    <w:rsid w:val="006F655A"/>
    <w:rsid w:val="006F6E45"/>
    <w:rsid w:val="00703EBD"/>
    <w:rsid w:val="007040EE"/>
    <w:rsid w:val="00704549"/>
    <w:rsid w:val="007112D8"/>
    <w:rsid w:val="00713E4A"/>
    <w:rsid w:val="007179E4"/>
    <w:rsid w:val="00717B43"/>
    <w:rsid w:val="00720034"/>
    <w:rsid w:val="007204C8"/>
    <w:rsid w:val="007228B7"/>
    <w:rsid w:val="007234B5"/>
    <w:rsid w:val="00723BBE"/>
    <w:rsid w:val="007243BB"/>
    <w:rsid w:val="00724F38"/>
    <w:rsid w:val="0072532A"/>
    <w:rsid w:val="0072718C"/>
    <w:rsid w:val="007272C6"/>
    <w:rsid w:val="007351CF"/>
    <w:rsid w:val="00740B88"/>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3A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3CFF"/>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F0683"/>
    <w:rsid w:val="009F343B"/>
    <w:rsid w:val="009F4291"/>
    <w:rsid w:val="00A01099"/>
    <w:rsid w:val="00A112C1"/>
    <w:rsid w:val="00A15138"/>
    <w:rsid w:val="00A15779"/>
    <w:rsid w:val="00A20132"/>
    <w:rsid w:val="00A202B0"/>
    <w:rsid w:val="00A2777C"/>
    <w:rsid w:val="00A30F47"/>
    <w:rsid w:val="00A371DA"/>
    <w:rsid w:val="00A4017B"/>
    <w:rsid w:val="00A42B09"/>
    <w:rsid w:val="00A45981"/>
    <w:rsid w:val="00A45D35"/>
    <w:rsid w:val="00A52B42"/>
    <w:rsid w:val="00A5311A"/>
    <w:rsid w:val="00A570FE"/>
    <w:rsid w:val="00A6434A"/>
    <w:rsid w:val="00A64A27"/>
    <w:rsid w:val="00A66024"/>
    <w:rsid w:val="00A677D1"/>
    <w:rsid w:val="00A746B8"/>
    <w:rsid w:val="00A80FA5"/>
    <w:rsid w:val="00A82FCB"/>
    <w:rsid w:val="00A8681C"/>
    <w:rsid w:val="00A90664"/>
    <w:rsid w:val="00A9200D"/>
    <w:rsid w:val="00AA23C8"/>
    <w:rsid w:val="00AA2B4E"/>
    <w:rsid w:val="00AA6D7C"/>
    <w:rsid w:val="00AB2CAB"/>
    <w:rsid w:val="00AB52B6"/>
    <w:rsid w:val="00AB5452"/>
    <w:rsid w:val="00AB6E97"/>
    <w:rsid w:val="00AC47BD"/>
    <w:rsid w:val="00AC4AD9"/>
    <w:rsid w:val="00AD133D"/>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6887"/>
    <w:rsid w:val="00BB788E"/>
    <w:rsid w:val="00BC68BA"/>
    <w:rsid w:val="00BD2D2F"/>
    <w:rsid w:val="00BE1A6E"/>
    <w:rsid w:val="00BE367A"/>
    <w:rsid w:val="00BE7332"/>
    <w:rsid w:val="00C021E2"/>
    <w:rsid w:val="00C02B78"/>
    <w:rsid w:val="00C02F6A"/>
    <w:rsid w:val="00C06CFF"/>
    <w:rsid w:val="00C106BF"/>
    <w:rsid w:val="00C12CFF"/>
    <w:rsid w:val="00C246DB"/>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14A1"/>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660E"/>
    <w:rsid w:val="00CD77F9"/>
    <w:rsid w:val="00CE31A4"/>
    <w:rsid w:val="00CE3A32"/>
    <w:rsid w:val="00CE7E98"/>
    <w:rsid w:val="00CF07F2"/>
    <w:rsid w:val="00CF2F73"/>
    <w:rsid w:val="00CF6940"/>
    <w:rsid w:val="00CF78BC"/>
    <w:rsid w:val="00D01B16"/>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4807"/>
    <w:rsid w:val="00E07749"/>
    <w:rsid w:val="00E11B18"/>
    <w:rsid w:val="00E11BD8"/>
    <w:rsid w:val="00E12AF4"/>
    <w:rsid w:val="00E14FEA"/>
    <w:rsid w:val="00E159DF"/>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5791"/>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0524"/>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0EFF"/>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5729"/>
    <w:rsid w:val="00FB70F4"/>
    <w:rsid w:val="00FC032A"/>
    <w:rsid w:val="00FC0E1C"/>
    <w:rsid w:val="00FC582F"/>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263</Pages>
  <Words>44741</Words>
  <Characters>255030</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7</cp:revision>
  <cp:lastPrinted>2025-05-11T04:35:00Z</cp:lastPrinted>
  <dcterms:created xsi:type="dcterms:W3CDTF">2025-05-11T04:34:00Z</dcterms:created>
  <dcterms:modified xsi:type="dcterms:W3CDTF">2025-05-11T08:07:00Z</dcterms:modified>
</cp:coreProperties>
</file>