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 Work Policy</w:t>
      </w:r>
    </w:p>
    <w:p>
      <w:r>
        <w:t>This policy applies to all permanent staff.</w:t>
      </w:r>
    </w:p>
    <w:p>
      <w:pPr>
        <w:pStyle w:val="Heading2"/>
      </w:pPr>
      <w:r>
        <w:t>Eligibility</w:t>
      </w:r>
    </w:p>
    <w:p>
      <w:r>
        <w:t>Staff may work remotely up to three days per week.</w:t>
      </w:r>
    </w:p>
    <w:p>
      <w:r>
        <w:t>Requests are approved by the reporting manager.</w:t>
      </w:r>
    </w:p>
    <w:p>
      <w:pPr>
        <w:pStyle w:val="Heading2"/>
      </w:pPr>
      <w:r>
        <w:t>Equipment</w:t>
      </w:r>
    </w:p>
    <w:p>
      <w:r>
        <w:t>The company provides a laptop and a monitor allowance of 250 dollars.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Allowance</w:t>
            </w:r>
          </w:p>
        </w:tc>
      </w:tr>
      <w:tr>
        <w:tc>
          <w:tcPr>
            <w:tcW w:type="dxa" w:w="4320"/>
          </w:tcPr>
          <w:p>
            <w:r>
              <w:t>Monitor</w:t>
            </w:r>
          </w:p>
        </w:tc>
        <w:tc>
          <w:tcPr>
            <w:tcW w:type="dxa" w:w="4320"/>
          </w:tcPr>
          <w:p>
            <w:r>
              <w:t>250 dollars</w:t>
            </w:r>
          </w:p>
        </w:tc>
      </w:tr>
      <w:tr>
        <w:tc>
          <w:tcPr>
            <w:tcW w:type="dxa" w:w="4320"/>
          </w:tcPr>
          <w:p>
            <w:r>
              <w:t>Desk chair</w:t>
            </w:r>
          </w:p>
        </w:tc>
        <w:tc>
          <w:tcPr>
            <w:tcW w:type="dxa" w:w="4320"/>
          </w:tcPr>
          <w:p>
            <w:r>
              <w:t>400 dollars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