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rPr>
                <w:rFonts w:hint="default" w:ascii="Calibri" w:hAnsi="Calibri" w:eastAsia="Calibri" w:cs="Calibri"/>
                <w:lang w:val="en-US"/>
              </w:rPr>
              <w:t>29/JUN/2025</w:t>
            </w:r>
            <w:bookmarkStart w:id="0" w:name="_GoBack"/>
            <w:bookmarkEnd w:id="0"/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LTVIP2025TMID32012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Citizen-ai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Citizens in rural and semi-urban areas struggle to access government services due to complex online portals, language barriers, and lack of digital literacy.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CIT-AI is a web-based platform powered by AI, voice recognition, and multilingual support. It guides users through government service processes, offers an AI chatbot for assistance, and integrates with Firebase for real-time data storage.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Combines AI, multilingual voice support, and simplified UX into one platform. Unlike static portals, CIT-AI provides interactive, conversational help tailored for non-technical users.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Improves digital inclusion, empowers rural citizens, and reduces physical visits to government offices. Citizens feel more confident accessing services independently.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Initially offered free under government initiatives or grants. Revenue potential through integration services, custom deployments for state governments, and support services.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platform is cloud-hosted, easily scalable to handle more users, languages, and additional government services over time.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1F8B315E"/>
    <w:rsid w:val="61C5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400</Characters>
  <Lines>3</Lines>
  <Paragraphs>1</Paragraphs>
  <TotalTime>0</TotalTime>
  <ScaleCrop>false</ScaleCrop>
  <LinksUpToDate>false</LinksUpToDate>
  <CharactersWithSpaces>469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Lakshmi bramham Kolakani</cp:lastModifiedBy>
  <dcterms:modified xsi:type="dcterms:W3CDTF">2025-06-28T06:29:42Z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D20E0424AE6C40969A36B6D8D699F497_12</vt:lpwstr>
  </property>
</Properties>
</file>