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Verdana" w:cs="Verdana" w:eastAsia="Verdana" w:hAnsi="Verdana"/>
        </w:rPr>
      </w:pPr>
      <w:bookmarkStart w:colFirst="0" w:colLast="0" w:name="_gmj75c3v0hxf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Used Car Pricing Analysis 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smm4wsfj92tp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Prepared for: Used Car Dealers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gsrdg120hy43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Our analysis identifies the key factors influencing used car prices, equipping your dealership with actionable insights to fine-tune inventory management and pricing. By examining variables like age, mileage, fuel type, and condition, we provide data-driven recommendations to enhance profitability and cater to market demand.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qq0mcr7ars01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Business Understanding: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Problem Statement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  <w:br w:type="textWrapping"/>
        <w:t xml:space="preserve">The goal is to identify key factors influencing used car prices to help a used car dealership optimize inventory decisions, pricing strategies, and marketing efforts.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Objectives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Understand which features (e.g., age, mileage, fuel type, condition) drive car prices.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Provide actionable insights to enhance the dealership's profitability and competitiveness.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ptvkosvnw9wf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Clean and Organized Notebook: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Data Cleaning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Missing values in key variables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year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odometer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etc.) were imputed using median (for numerical features) and mode (for categorical features).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Outliers were removed by capping prices and mileage at the 1st and 99th percentiles.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Feature Engineering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New features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were created to capture vehicle depreciation.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Polynomial terms and interaction terms were added to account for non-linear relationships.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Normalization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Standard scaling was applied to all numerical variables to ensure regression stability.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fiblxisw010f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Descriptive and Inferential Statistics: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Descriptive Statistics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Average car price decreases significantly with higher mileage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odometer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and older cars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year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859082" cy="30413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082" cy="304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824413" cy="30236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023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240" w:before="24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Alternative fuel vehicles and unique transmission types positively influence car prices.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413105" cy="33906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105" cy="3390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491668" cy="34310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668" cy="343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Inferential Statistics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Ridge regression coefficients identified significant predictors: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Negative Impact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odometer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fuel_gas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Positive Impact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Alternative fuel types, interactions between features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 × fuel_other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certain quadratic terms.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Models explained approximately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56%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of the variance in prices (R-Square) with an average prediction error (MAE) of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$6,843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mk8t2j7cxjfm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Depreciation Effects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Older Cars Lose Value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Car age is the most significant factor in price reduction. On average, each additional year reduces the price by approximately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$7,171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Higher Mileage Reduces Prices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Vehicles with more miles on the odometer see significant depreciation, with an average reduction of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$5,173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per mileage increment.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Fuel Type and Sustainability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Alternative Fuels Command Premiums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Hybrid and electric vehicles generally sell for higher prices than gasoline vehicles, indicating a growing consumer preference for sustainable options.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Gasoline Cars Face Mixed Impact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While gasoline cars remain common, they tend to have slightly lower resale values, particularly when paired with high mileage.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Interactions and Niche Preferences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Certain combinations, such as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"older cars with alternative fuels"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positively influence prices, suggesting demand in niche markets.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Unique transmission types (e.g., manual) can add value when paired with alternative fuels.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Outlier Effects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Removing extreme values in price and mileage improved the model's prediction accuracy, revealing more stable patterns across the dataset.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fumqidkjzcnn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Actionable Recommendations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Inventory Optimization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Acquire More Sustainable Vehicles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Expand the inventory of hybrid and electric cars to cater to growing consumer demand.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Focus on Newer, Low-Mileage Cars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These vehicles maintain value better and attract premium prices.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Dynamic Pricing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Adjust Pricing Based on Age and Mileage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Implement dynamic pricing models to reflect depreciation trends accurately.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Leverage Niche 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Highlight alternative transmissions and low mileage to justify premium pricing for specific cars.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Marketing Strategy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Promote Sustainability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Position alternative fuel vehicles as eco-friendly and cost-effective options for consumers.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Certify Pre-Owned Vehicles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Introduce certification programs to reduce consumer hesitation around older or higher-mileage cars.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9giachxfyum4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Data Insights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Statistical Highlights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Mean Absolute Error (MAE)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$6,483 - This indicates that, on average, the model's price predictions deviate by $6,483.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R-Squared (R^2)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56.1% — Approximately 56.1% of the variance in car prices is explained by the model, leaving room for further feature exploration.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Key Predictors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Largest depreciation factor (−$7,171-\$7,171).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Mileage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Strong negative impact (−$5,173-\$5,173).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Fuel Type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Hybrid/electric vehicles are consistently priced higher than gasoline-powered cars.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5pnkjrxvxxwx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Expand Data Collection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Include features like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make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geographic data to refine predictions.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Integrate external factors like fuel prices and market trends to capture broader pricing influences.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Advanced Modeling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Explore tree-based models (e.g., Random Forest, Gradient Boosting) to capture non-linear relationships.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Segment data by car type (luxury, economy, etc.) to improve model precision.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Consumer Insights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Conduct surveys or focus groups to understand consumer preferences for alternative fuels and unique features.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wo8628mzc7qj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By focusing on newer, low-mileage cars and promoting alternative fuel options, your dealership can position itself as a market leader. Implementing dynamic pricing and highlighting niche features will enhance customer engagement and profitability.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