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left"/>
        <w:rPr>
          <w:rFonts w:ascii="Times New Roman" w:cs="Times New Roman" w:eastAsia="Times New Roman" w:hAnsi="Times New Roman"/>
          <w:b w:val="1"/>
          <w:bCs w:val="1"/>
          <w:color w:val="434343"/>
          <w:sz w:val="36"/>
          <w:szCs w:val="36"/>
          <w:shd w:fill="fff2cc" w:val="clear"/>
        </w:rPr>
      </w:pPr>
      <w:r w:rsidDel="00000000" w:rsidR="00000000" w:rsidRPr="00000000">
        <w:rPr>
          <w:rFonts w:ascii="Times New Roman" w:cs="Times New Roman" w:eastAsia="Times New Roman" w:hAnsi="Times New Roman"/>
          <w:b w:val="1"/>
          <w:bCs w:val="1"/>
          <w:color w:val="434343"/>
          <w:sz w:val="36"/>
          <w:szCs w:val="36"/>
          <w:rtl w:val="0"/>
        </w:rPr>
        <w:t xml:space="preserve">Agricultural Commodities Price Trends across India(2018)</w:t>
      </w:r>
      <w:r w:rsidDel="00000000" w:rsidR="00000000" w:rsidRPr="00000000">
        <w:rPr>
          <w:rtl w:val="0"/>
        </w:rPr>
      </w:r>
    </w:p>
    <w:p w:rsidR="00000000" w:rsidDel="00000000" w:rsidP="00000000" w:rsidRDefault="00000000" w:rsidRPr="00000000" w14:paraId="00000002">
      <w:pPr>
        <w:spacing w:after="0" w:line="360" w:lineRule="auto"/>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1. Project Overview and Objective</w:t>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goal of this project is to transform raw agricultural commodity data into meaningful insights through data cleaning and analysis in Excel, followed by the development of interactive Power BI dashboards to monitor trends and support data-driven decision-making. </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2. Data Source</w:t>
      </w:r>
    </w:p>
    <w:p w:rsidR="00000000" w:rsidDel="00000000" w:rsidP="00000000" w:rsidRDefault="00000000" w:rsidRPr="00000000" w14:paraId="00000007">
      <w:pPr>
        <w:numPr>
          <w:ilvl w:val="0"/>
          <w:numId w:val="6"/>
        </w:numPr>
        <w:spacing w:after="0" w:line="360" w:lineRule="auto"/>
        <w:ind w:left="720"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Source Description and Timeline:</w:t>
      </w:r>
      <w:r w:rsidDel="00000000" w:rsidR="00000000" w:rsidRPr="00000000">
        <w:rPr>
          <w:rFonts w:ascii="Times New Roman" w:cs="Times New Roman" w:eastAsia="Times New Roman" w:hAnsi="Times New Roman"/>
          <w:color w:val="434343"/>
          <w:sz w:val="24"/>
          <w:szCs w:val="24"/>
          <w:rtl w:val="0"/>
        </w:rPr>
        <w:t xml:space="preserve"> India Data Portal and 2015-2024</w:t>
      </w:r>
    </w:p>
    <w:p w:rsidR="00000000" w:rsidDel="00000000" w:rsidP="00000000" w:rsidRDefault="00000000" w:rsidRPr="00000000" w14:paraId="00000008">
      <w:pPr>
        <w:numPr>
          <w:ilvl w:val="0"/>
          <w:numId w:val="6"/>
        </w:numPr>
        <w:spacing w:after="0" w:line="360" w:lineRule="auto"/>
        <w:ind w:left="720"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Domain</w:t>
      </w:r>
      <w:r w:rsidDel="00000000" w:rsidR="00000000" w:rsidRPr="00000000">
        <w:rPr>
          <w:rFonts w:ascii="Times New Roman" w:cs="Times New Roman" w:eastAsia="Times New Roman" w:hAnsi="Times New Roman"/>
          <w:color w:val="0b5394"/>
          <w:sz w:val="24"/>
          <w:szCs w:val="24"/>
          <w:rtl w:val="0"/>
        </w:rPr>
        <w:t xml:space="preserve">:</w:t>
      </w:r>
      <w:r w:rsidDel="00000000" w:rsidR="00000000" w:rsidRPr="00000000">
        <w:rPr>
          <w:rFonts w:ascii="Times New Roman" w:cs="Times New Roman" w:eastAsia="Times New Roman" w:hAnsi="Times New Roman"/>
          <w:color w:val="434343"/>
          <w:sz w:val="24"/>
          <w:szCs w:val="24"/>
          <w:rtl w:val="0"/>
        </w:rPr>
        <w:t xml:space="preserve"> Commerce</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1155cc"/>
          <w:sz w:val="24"/>
          <w:szCs w:val="24"/>
          <w:rtl w:val="0"/>
        </w:rPr>
        <w:t xml:space="preserve">3. Problem Statement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For understanding market trends,regional price variations and the impact of economic policies on commodities prices.</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0" w:line="360" w:lineRule="auto"/>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4. Attribute (Column /Features) Details: </w:t>
      </w:r>
    </w:p>
    <w:tbl>
      <w:tblPr>
        <w:tblStyle w:val="Table1"/>
        <w:tblW w:w="84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2550"/>
        <w:gridCol w:w="4095"/>
        <w:tblGridChange w:id="0">
          <w:tblGrid>
            <w:gridCol w:w="1830"/>
            <w:gridCol w:w="2550"/>
            <w:gridCol w:w="4095"/>
          </w:tblGrid>
        </w:tblGridChange>
      </w:tblGrid>
      <w:tr>
        <w:trPr>
          <w:cantSplit w:val="0"/>
          <w:trHeight w:val="428.96484375" w:hRule="atLeast"/>
          <w:tblHeader w:val="0"/>
        </w:trPr>
        <w:tc>
          <w:tcPr/>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Attribute Name</w:t>
            </w:r>
          </w:p>
        </w:tc>
        <w:tc>
          <w:tcPr/>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Data Type</w:t>
            </w:r>
          </w:p>
        </w:tc>
        <w:tc>
          <w:tcPr/>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Description</w:t>
            </w:r>
          </w:p>
        </w:tc>
      </w:tr>
      <w:tr>
        <w:trPr>
          <w:cantSplit w:val="0"/>
          <w:tblHeader w:val="0"/>
        </w:trPr>
        <w:tc>
          <w:tcPr/>
          <w:p w:rsidR="00000000" w:rsidDel="00000000" w:rsidP="00000000" w:rsidRDefault="00000000" w:rsidRPr="00000000" w14:paraId="00000011">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ID</w:t>
            </w:r>
          </w:p>
        </w:tc>
        <w:tc>
          <w:tcPr/>
          <w:p w:rsidR="00000000" w:rsidDel="00000000" w:rsidP="00000000" w:rsidRDefault="00000000" w:rsidRPr="00000000" w14:paraId="00000012">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Integer </w:t>
            </w:r>
          </w:p>
        </w:tc>
        <w:tc>
          <w:tcPr/>
          <w:p w:rsidR="00000000" w:rsidDel="00000000" w:rsidP="00000000" w:rsidRDefault="00000000" w:rsidRPr="00000000" w14:paraId="00000013">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Unique identifier for each commodities</w:t>
            </w:r>
          </w:p>
        </w:tc>
      </w:tr>
      <w:tr>
        <w:trPr>
          <w:cantSplit w:val="0"/>
          <w:tblHeader w:val="0"/>
        </w:trPr>
        <w:tc>
          <w:tcPr/>
          <w:p w:rsidR="00000000" w:rsidDel="00000000" w:rsidP="00000000" w:rsidRDefault="00000000" w:rsidRPr="00000000" w14:paraId="00000014">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State Name</w:t>
            </w:r>
          </w:p>
        </w:tc>
        <w:tc>
          <w:tcPr/>
          <w:p w:rsidR="00000000" w:rsidDel="00000000" w:rsidP="00000000" w:rsidRDefault="00000000" w:rsidRPr="00000000" w14:paraId="00000015">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Text</w:t>
            </w:r>
          </w:p>
        </w:tc>
        <w:tc>
          <w:tcPr/>
          <w:p w:rsidR="00000000" w:rsidDel="00000000" w:rsidP="00000000" w:rsidRDefault="00000000" w:rsidRPr="00000000" w14:paraId="00000016">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Name of the state</w:t>
            </w:r>
          </w:p>
        </w:tc>
      </w:tr>
      <w:tr>
        <w:trPr>
          <w:cantSplit w:val="0"/>
          <w:tblHeader w:val="0"/>
        </w:trPr>
        <w:tc>
          <w:tcPr/>
          <w:p w:rsidR="00000000" w:rsidDel="00000000" w:rsidP="00000000" w:rsidRDefault="00000000" w:rsidRPr="00000000" w14:paraId="00000017">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Commodities</w:t>
            </w:r>
          </w:p>
        </w:tc>
        <w:tc>
          <w:tcPr/>
          <w:p w:rsidR="00000000" w:rsidDel="00000000" w:rsidP="00000000" w:rsidRDefault="00000000" w:rsidRPr="00000000" w14:paraId="00000018">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Text</w:t>
            </w:r>
          </w:p>
        </w:tc>
        <w:tc>
          <w:tcPr/>
          <w:p w:rsidR="00000000" w:rsidDel="00000000" w:rsidP="00000000" w:rsidRDefault="00000000" w:rsidRPr="00000000" w14:paraId="00000019">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Includes agricultural products</w:t>
            </w:r>
          </w:p>
        </w:tc>
      </w:tr>
      <w:tr>
        <w:trPr>
          <w:cantSplit w:val="0"/>
          <w:tblHeader w:val="0"/>
        </w:trPr>
        <w:tc>
          <w:tcPr/>
          <w:p w:rsidR="00000000" w:rsidDel="00000000" w:rsidP="00000000" w:rsidRDefault="00000000" w:rsidRPr="00000000" w14:paraId="0000001A">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Price</w:t>
            </w:r>
          </w:p>
        </w:tc>
        <w:tc>
          <w:tcPr/>
          <w:p w:rsidR="00000000" w:rsidDel="00000000" w:rsidP="00000000" w:rsidRDefault="00000000" w:rsidRPr="00000000" w14:paraId="0000001B">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Integer</w:t>
            </w:r>
          </w:p>
        </w:tc>
        <w:tc>
          <w:tcPr/>
          <w:p w:rsidR="00000000" w:rsidDel="00000000" w:rsidP="00000000" w:rsidRDefault="00000000" w:rsidRPr="00000000" w14:paraId="0000001C">
            <w:pPr>
              <w:spacing w:line="36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Price of individual Commodities</w:t>
            </w:r>
          </w:p>
        </w:tc>
      </w:tr>
    </w:tbl>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5. Tools &amp; Technologies</w:t>
      </w:r>
    </w:p>
    <w:p w:rsidR="00000000" w:rsidDel="00000000" w:rsidP="00000000" w:rsidRDefault="00000000" w:rsidRPr="00000000" w14:paraId="0000001F">
      <w:pPr>
        <w:numPr>
          <w:ilvl w:val="0"/>
          <w:numId w:val="4"/>
        </w:numPr>
        <w:spacing w:after="0" w:line="360" w:lineRule="auto"/>
        <w:ind w:left="720"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Excel:</w:t>
      </w:r>
      <w:r w:rsidDel="00000000" w:rsidR="00000000" w:rsidRPr="00000000">
        <w:rPr>
          <w:rFonts w:ascii="Times New Roman" w:cs="Times New Roman" w:eastAsia="Times New Roman" w:hAnsi="Times New Roman"/>
          <w:color w:val="434343"/>
          <w:sz w:val="24"/>
          <w:szCs w:val="24"/>
          <w:rtl w:val="0"/>
        </w:rPr>
        <w:t xml:space="preserve"> Data cleaning, transformation, and Data modelling</w:t>
      </w:r>
    </w:p>
    <w:p w:rsidR="00000000" w:rsidDel="00000000" w:rsidP="00000000" w:rsidRDefault="00000000" w:rsidRPr="00000000" w14:paraId="00000020">
      <w:pPr>
        <w:numPr>
          <w:ilvl w:val="0"/>
          <w:numId w:val="4"/>
        </w:numPr>
        <w:spacing w:after="0" w:line="360" w:lineRule="auto"/>
        <w:ind w:left="720"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Power BI:</w:t>
      </w:r>
      <w:r w:rsidDel="00000000" w:rsidR="00000000" w:rsidRPr="00000000">
        <w:rPr>
          <w:rFonts w:ascii="Times New Roman" w:cs="Times New Roman" w:eastAsia="Times New Roman" w:hAnsi="Times New Roman"/>
          <w:color w:val="434343"/>
          <w:sz w:val="24"/>
          <w:szCs w:val="24"/>
          <w:rtl w:val="0"/>
        </w:rPr>
        <w:t xml:space="preserve"> DAX calculations, visualization, and interactive dashboard creation.</w:t>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0" w:line="360" w:lineRule="auto"/>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6. Data Pre-Processing (Excel / Power Query) </w:t>
      </w:r>
    </w:p>
    <w:p w:rsidR="00000000" w:rsidDel="00000000" w:rsidP="00000000" w:rsidRDefault="00000000" w:rsidRPr="00000000" w14:paraId="00000023">
      <w:pPr>
        <w:spacing w:after="0" w:line="360" w:lineRule="auto"/>
        <w:jc w:val="both"/>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Tasks Performed:</w:t>
      </w:r>
    </w:p>
    <w:p w:rsidR="00000000" w:rsidDel="00000000" w:rsidP="00000000" w:rsidRDefault="00000000" w:rsidRPr="00000000" w14:paraId="00000024">
      <w:pPr>
        <w:numPr>
          <w:ilvl w:val="0"/>
          <w:numId w:val="7"/>
        </w:numPr>
        <w:spacing w:after="0" w:line="360" w:lineRule="auto"/>
        <w:ind w:left="720"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Data Cleaning &amp; Transformation:</w:t>
      </w:r>
      <w:r w:rsidDel="00000000" w:rsidR="00000000" w:rsidRPr="00000000">
        <w:rPr>
          <w:rFonts w:ascii="Times New Roman" w:cs="Times New Roman" w:eastAsia="Times New Roman" w:hAnsi="Times New Roman"/>
          <w:color w:val="595959"/>
          <w:sz w:val="24"/>
          <w:szCs w:val="24"/>
          <w:rtl w:val="0"/>
        </w:rPr>
        <w:t xml:space="preserve"> Removed duplicates, handled missing values, standardized formats,created calculated fields and data models.</w:t>
      </w:r>
    </w:p>
    <w:p w:rsidR="00000000" w:rsidDel="00000000" w:rsidP="00000000" w:rsidRDefault="00000000" w:rsidRPr="00000000" w14:paraId="00000025">
      <w:pPr>
        <w:numPr>
          <w:ilvl w:val="0"/>
          <w:numId w:val="7"/>
        </w:numPr>
        <w:spacing w:after="0" w:line="360" w:lineRule="auto"/>
        <w:ind w:left="720"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Filtering &amp; Sorting:</w:t>
      </w:r>
      <w:r w:rsidDel="00000000" w:rsidR="00000000" w:rsidRPr="00000000">
        <w:rPr>
          <w:rFonts w:ascii="Times New Roman" w:cs="Times New Roman" w:eastAsia="Times New Roman" w:hAnsi="Times New Roman"/>
          <w:color w:val="1f3864"/>
          <w:sz w:val="24"/>
          <w:szCs w:val="24"/>
          <w:rtl w:val="0"/>
        </w:rPr>
        <w:t xml:space="preserve"> </w:t>
      </w:r>
      <w:r w:rsidDel="00000000" w:rsidR="00000000" w:rsidRPr="00000000">
        <w:rPr>
          <w:rFonts w:ascii="Times New Roman" w:cs="Times New Roman" w:eastAsia="Times New Roman" w:hAnsi="Times New Roman"/>
          <w:color w:val="595959"/>
          <w:sz w:val="24"/>
          <w:szCs w:val="24"/>
          <w:rtl w:val="0"/>
        </w:rPr>
        <w:t xml:space="preserve">Organized data to focus on relevant records.</w:t>
      </w:r>
    </w:p>
    <w:p w:rsidR="00000000" w:rsidDel="00000000" w:rsidP="00000000" w:rsidRDefault="00000000" w:rsidRPr="00000000" w14:paraId="00000026">
      <w:pPr>
        <w:numPr>
          <w:ilvl w:val="0"/>
          <w:numId w:val="7"/>
        </w:numPr>
        <w:spacing w:after="0" w:line="360" w:lineRule="auto"/>
        <w:ind w:left="720" w:hanging="360"/>
        <w:jc w:val="both"/>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Date Model: </w:t>
      </w:r>
      <w:r w:rsidDel="00000000" w:rsidR="00000000" w:rsidRPr="00000000">
        <w:rPr>
          <w:rFonts w:ascii="Times New Roman" w:cs="Times New Roman" w:eastAsia="Times New Roman" w:hAnsi="Times New Roman"/>
          <w:color w:val="434343"/>
          <w:sz w:val="24"/>
          <w:szCs w:val="24"/>
          <w:rtl w:val="0"/>
        </w:rPr>
        <w:t xml:space="preserve">Date table is created.</w:t>
      </w:r>
    </w:p>
    <w:p w:rsidR="00000000" w:rsidDel="00000000" w:rsidP="00000000" w:rsidRDefault="00000000" w:rsidRPr="00000000" w14:paraId="00000027">
      <w:pPr>
        <w:numPr>
          <w:ilvl w:val="0"/>
          <w:numId w:val="7"/>
        </w:numPr>
        <w:spacing w:after="0" w:line="360" w:lineRule="auto"/>
        <w:ind w:left="720" w:hanging="360"/>
        <w:jc w:val="both"/>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Fact table:</w:t>
      </w: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Fonts w:ascii="Times New Roman" w:cs="Times New Roman" w:eastAsia="Times New Roman" w:hAnsi="Times New Roman"/>
          <w:b w:val="1"/>
          <w:bCs w:val="1"/>
          <w:color w:val="0b5394"/>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1. Daily Retail Price</w:t>
      </w:r>
    </w:p>
    <w:p w:rsidR="00000000" w:rsidDel="00000000" w:rsidP="00000000" w:rsidRDefault="00000000" w:rsidRPr="00000000" w14:paraId="00000028">
      <w:pPr>
        <w:spacing w:after="0" w:line="36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                     2.Wholesale price of India </w:t>
      </w:r>
    </w:p>
    <w:p w:rsidR="00000000" w:rsidDel="00000000" w:rsidP="00000000" w:rsidRDefault="00000000" w:rsidRPr="00000000" w14:paraId="00000029">
      <w:pPr>
        <w:spacing w:after="0" w:line="36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                     3.Wholesale price of state.</w:t>
      </w:r>
    </w:p>
    <w:p w:rsidR="00000000" w:rsidDel="00000000" w:rsidP="00000000" w:rsidRDefault="00000000" w:rsidRPr="00000000" w14:paraId="0000002A">
      <w:pPr>
        <w:spacing w:after="0" w:line="360"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2B">
      <w:pPr>
        <w:numPr>
          <w:ilvl w:val="0"/>
          <w:numId w:val="7"/>
        </w:numPr>
        <w:spacing w:after="0" w:line="360" w:lineRule="auto"/>
        <w:ind w:left="720" w:hanging="360"/>
        <w:jc w:val="both"/>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Dimensional table:</w:t>
      </w:r>
      <w:r w:rsidDel="00000000" w:rsidR="00000000" w:rsidRPr="00000000">
        <w:rPr>
          <w:rFonts w:ascii="Times New Roman" w:cs="Times New Roman" w:eastAsia="Times New Roman" w:hAnsi="Times New Roman"/>
          <w:color w:val="595959"/>
          <w:sz w:val="24"/>
          <w:szCs w:val="24"/>
          <w:rtl w:val="0"/>
        </w:rPr>
        <w:t xml:space="preserve"> Date Table</w:t>
      </w:r>
    </w:p>
    <w:p w:rsidR="00000000" w:rsidDel="00000000" w:rsidP="00000000" w:rsidRDefault="00000000" w:rsidRPr="00000000" w14:paraId="0000002C">
      <w:pPr>
        <w:spacing w:after="0" w:line="360" w:lineRule="auto"/>
        <w:ind w:left="720" w:firstLine="0"/>
        <w:jc w:val="both"/>
        <w:rPr>
          <w:rFonts w:ascii="Times New Roman" w:cs="Times New Roman" w:eastAsia="Times New Roman" w:hAnsi="Times New Roman"/>
          <w:b w:val="1"/>
          <w:bCs w:val="1"/>
          <w:color w:val="0b5394"/>
          <w:sz w:val="24"/>
          <w:szCs w:val="24"/>
        </w:rPr>
      </w:pPr>
      <w:r w:rsidDel="00000000" w:rsidR="00000000" w:rsidRPr="00000000">
        <w:rPr>
          <w:rtl w:val="0"/>
        </w:rPr>
      </w:r>
    </w:p>
    <w:p w:rsidR="00000000" w:rsidDel="00000000" w:rsidP="00000000" w:rsidRDefault="00000000" w:rsidRPr="00000000" w14:paraId="0000002D">
      <w:pPr>
        <w:spacing w:after="0" w:line="360" w:lineRule="auto"/>
        <w:ind w:left="72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b w:val="1"/>
          <w:bCs w:val="1"/>
          <w:color w:val="3333cc"/>
          <w:sz w:val="24"/>
          <w:szCs w:val="24"/>
        </w:rPr>
      </w:pPr>
      <w:r w:rsidDel="00000000" w:rsidR="00000000" w:rsidRPr="00000000">
        <w:rPr>
          <w:rFonts w:ascii="Times New Roman" w:cs="Times New Roman" w:eastAsia="Times New Roman" w:hAnsi="Times New Roman"/>
          <w:b w:val="1"/>
          <w:bCs w:val="1"/>
          <w:color w:val="3333cc"/>
          <w:sz w:val="24"/>
          <w:szCs w:val="24"/>
          <w:rtl w:val="0"/>
        </w:rPr>
        <w:t xml:space="preserve">7. Data Modelling and DAX (Power BI) </w:t>
      </w:r>
    </w:p>
    <w:p w:rsidR="00000000" w:rsidDel="00000000" w:rsidP="00000000" w:rsidRDefault="00000000" w:rsidRPr="00000000" w14:paraId="0000002F">
      <w:pPr>
        <w:numPr>
          <w:ilvl w:val="0"/>
          <w:numId w:val="2"/>
        </w:numPr>
        <w:spacing w:after="0" w:line="360" w:lineRule="auto"/>
        <w:ind w:left="720"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Data Model:</w:t>
      </w:r>
      <w:r w:rsidDel="00000000" w:rsidR="00000000" w:rsidRPr="00000000">
        <w:rPr>
          <w:rFonts w:ascii="Times New Roman" w:cs="Times New Roman" w:eastAsia="Times New Roman" w:hAnsi="Times New Roman"/>
          <w:color w:val="2f5496"/>
          <w:sz w:val="24"/>
          <w:szCs w:val="24"/>
          <w:rtl w:val="0"/>
        </w:rPr>
        <w:t xml:space="preserve"> </w:t>
      </w:r>
      <w:r w:rsidDel="00000000" w:rsidR="00000000" w:rsidRPr="00000000">
        <w:rPr>
          <w:rFonts w:ascii="Times New Roman" w:cs="Times New Roman" w:eastAsia="Times New Roman" w:hAnsi="Times New Roman"/>
          <w:color w:val="595959"/>
          <w:sz w:val="24"/>
          <w:szCs w:val="24"/>
          <w:rtl w:val="0"/>
        </w:rPr>
        <w:t xml:space="preserve">To support analytical reporting, a star schema was implemented using three tables. The Date key was used to establish relationships between the fact table and the dimension table, enabling efficient aggregation and analysis of agricultural commodity prices across time. </w:t>
      </w:r>
    </w:p>
    <w:p w:rsidR="00000000" w:rsidDel="00000000" w:rsidP="00000000" w:rsidRDefault="00000000" w:rsidRPr="00000000" w14:paraId="00000030">
      <w:pPr>
        <w:numPr>
          <w:ilvl w:val="0"/>
          <w:numId w:val="2"/>
        </w:numPr>
        <w:spacing w:after="0" w:line="360" w:lineRule="auto"/>
        <w:ind w:left="720" w:hanging="360"/>
        <w:jc w:val="both"/>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color w:val="0b5394"/>
          <w:sz w:val="24"/>
          <w:szCs w:val="24"/>
          <w:rtl w:val="0"/>
        </w:rPr>
        <w:t xml:space="preserve">Cardinality: </w:t>
      </w:r>
      <w:r w:rsidDel="00000000" w:rsidR="00000000" w:rsidRPr="00000000">
        <w:rPr>
          <w:rFonts w:ascii="Times New Roman" w:cs="Times New Roman" w:eastAsia="Times New Roman" w:hAnsi="Times New Roman"/>
          <w:color w:val="434343"/>
          <w:sz w:val="24"/>
          <w:szCs w:val="24"/>
          <w:rtl w:val="0"/>
        </w:rPr>
        <w:t xml:space="preserve">The relationship between the Date Dimension table and the Fact table follows a one-to-many (1:*) cardinality, where each unique date in the dimension table is associated with multiple agricultural commodity records in the fact table. This structure supports efficient time-based analysis and reporting.</w:t>
      </w:r>
    </w:p>
    <w:p w:rsidR="00000000" w:rsidDel="00000000" w:rsidP="00000000" w:rsidRDefault="00000000" w:rsidRPr="00000000" w14:paraId="00000031">
      <w:pPr>
        <w:spacing w:after="0" w:line="360" w:lineRule="auto"/>
        <w:ind w:left="720" w:firstLine="0"/>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SCREENSHOT OF DATA MODELLING </w:t>
      </w:r>
    </w:p>
    <w:p w:rsidR="00000000" w:rsidDel="00000000" w:rsidP="00000000" w:rsidRDefault="00000000" w:rsidRPr="00000000" w14:paraId="00000032">
      <w:pPr>
        <w:spacing w:after="0" w:line="36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4895850" cy="1981200"/>
            <wp:effectExtent b="0" l="0" r="0" t="0"/>
            <wp:docPr id="3" name="image2.png"/>
            <a:graphic>
              <a:graphicData uri="http://schemas.openxmlformats.org/drawingml/2006/picture">
                <pic:pic>
                  <pic:nvPicPr>
                    <pic:cNvPr id="0" name="image2.png"/>
                    <pic:cNvPicPr preferRelativeResize="0"/>
                  </pic:nvPicPr>
                  <pic:blipFill>
                    <a:blip r:embed="rId7"/>
                    <a:srcRect b="0" l="-1349" r="-1349" t="0"/>
                    <a:stretch>
                      <a:fillRect/>
                    </a:stretch>
                  </pic:blipFill>
                  <pic:spPr>
                    <a:xfrm>
                      <a:off x="0" y="0"/>
                      <a:ext cx="48958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360" w:lineRule="auto"/>
        <w:ind w:left="720" w:firstLine="0"/>
        <w:jc w:val="left"/>
        <w:rPr>
          <w:rFonts w:ascii="Times New Roman" w:cs="Times New Roman" w:eastAsia="Times New Roman" w:hAnsi="Times New Roman"/>
          <w:b w:val="1"/>
          <w:bCs w:val="1"/>
          <w:color w:val="ee0000"/>
          <w:sz w:val="24"/>
          <w:szCs w:val="24"/>
        </w:rPr>
      </w:pPr>
      <w:r w:rsidDel="00000000" w:rsidR="00000000" w:rsidRPr="00000000">
        <w:rPr>
          <w:rtl w:val="0"/>
        </w:rPr>
      </w:r>
    </w:p>
    <w:p w:rsidR="00000000" w:rsidDel="00000000" w:rsidP="00000000" w:rsidRDefault="00000000" w:rsidRPr="00000000" w14:paraId="00000034">
      <w:pPr>
        <w:numPr>
          <w:ilvl w:val="0"/>
          <w:numId w:val="2"/>
        </w:numPr>
        <w:spacing w:after="0" w:line="360" w:lineRule="auto"/>
        <w:ind w:left="720"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Calculated Columns &amp; DAX Measures: </w:t>
      </w:r>
      <w:r w:rsidDel="00000000" w:rsidR="00000000" w:rsidRPr="00000000">
        <w:rPr>
          <w:rFonts w:ascii="Times New Roman" w:cs="Times New Roman" w:eastAsia="Times New Roman" w:hAnsi="Times New Roman"/>
          <w:color w:val="595959"/>
          <w:sz w:val="24"/>
          <w:szCs w:val="24"/>
          <w:rtl w:val="0"/>
        </w:rPr>
        <w:t xml:space="preserve">DAX calculated columns and measures were created to enhance data analysis and reporting capabilities. Key metrics such as</w:t>
      </w:r>
      <w:r w:rsidDel="00000000" w:rsidR="00000000" w:rsidRPr="00000000">
        <w:rPr>
          <w:rFonts w:ascii="Times New Roman" w:cs="Times New Roman" w:eastAsia="Times New Roman" w:hAnsi="Times New Roman"/>
          <w:color w:val="1f3864"/>
          <w:sz w:val="24"/>
          <w:szCs w:val="24"/>
          <w:rtl w:val="0"/>
        </w:rPr>
        <w:t xml:space="preserve"> </w:t>
      </w:r>
      <w:r w:rsidDel="00000000" w:rsidR="00000000" w:rsidRPr="00000000">
        <w:rPr>
          <w:rFonts w:ascii="Times New Roman" w:cs="Times New Roman" w:eastAsia="Times New Roman" w:hAnsi="Times New Roman"/>
          <w:b w:val="1"/>
          <w:bCs w:val="1"/>
          <w:color w:val="1f3864"/>
          <w:sz w:val="24"/>
          <w:szCs w:val="24"/>
          <w:rtl w:val="0"/>
        </w:rPr>
        <w:t xml:space="preserve">Retail Month, Retail Margin, State Price Category, Price Volatility, Average vs Modal Difference,  Year, Average Retail Price,Average State &amp; India Wholesale Price, Highest Rank State, Number of States and Number of Commodities</w:t>
      </w:r>
      <w:r w:rsidDel="00000000" w:rsidR="00000000" w:rsidRPr="00000000">
        <w:rPr>
          <w:rFonts w:ascii="Times New Roman" w:cs="Times New Roman" w:eastAsia="Times New Roman" w:hAnsi="Times New Roman"/>
          <w:color w:val="1f3864"/>
          <w:sz w:val="24"/>
          <w:szCs w:val="24"/>
          <w:rtl w:val="0"/>
        </w:rPr>
        <w:t xml:space="preserve"> </w:t>
      </w:r>
      <w:r w:rsidDel="00000000" w:rsidR="00000000" w:rsidRPr="00000000">
        <w:rPr>
          <w:rFonts w:ascii="Times New Roman" w:cs="Times New Roman" w:eastAsia="Times New Roman" w:hAnsi="Times New Roman"/>
          <w:color w:val="595959"/>
          <w:sz w:val="24"/>
          <w:szCs w:val="24"/>
          <w:rtl w:val="0"/>
        </w:rPr>
        <w:t xml:space="preserve">were derived to provide deeper insights into pricing patterns and trends.</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333cc"/>
          <w:sz w:val="24"/>
          <w:szCs w:val="24"/>
          <w:rtl w:val="0"/>
        </w:rPr>
        <w:t xml:space="preserve">8. Analysis and Visualizations (Power BI)</w:t>
      </w:r>
      <w:r w:rsidDel="00000000" w:rsidR="00000000" w:rsidRPr="00000000">
        <w:rPr>
          <w:rtl w:val="0"/>
        </w:rPr>
      </w:r>
    </w:p>
    <w:p w:rsidR="00000000" w:rsidDel="00000000" w:rsidP="00000000" w:rsidRDefault="00000000" w:rsidRPr="00000000" w14:paraId="00000037">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color w:val="2f5496"/>
          <w:sz w:val="24"/>
          <w:szCs w:val="24"/>
          <w:rtl w:val="0"/>
        </w:rPr>
        <w:t xml:space="preserve">Dashboard Features:</w:t>
      </w:r>
      <w:r w:rsidDel="00000000" w:rsidR="00000000" w:rsidRPr="00000000">
        <w:rPr>
          <w:rFonts w:ascii="Times New Roman" w:cs="Times New Roman" w:eastAsia="Times New Roman" w:hAnsi="Times New Roman"/>
          <w:b w:val="1"/>
          <w:bCs w:val="1"/>
          <w:color w:val="1f3864"/>
          <w:sz w:val="24"/>
          <w:szCs w:val="24"/>
          <w:rtl w:val="0"/>
        </w:rPr>
        <w:t xml:space="preserve"> </w:t>
      </w:r>
      <w:r w:rsidDel="00000000" w:rsidR="00000000" w:rsidRPr="00000000">
        <w:rPr>
          <w:rFonts w:ascii="Times New Roman" w:cs="Times New Roman" w:eastAsia="Times New Roman" w:hAnsi="Times New Roman"/>
          <w:color w:val="595959"/>
          <w:sz w:val="24"/>
          <w:szCs w:val="24"/>
          <w:rtl w:val="0"/>
        </w:rPr>
        <w:t xml:space="preserve">Multiple visualizations were developed to address the project objectives and present insights effectively.</w:t>
      </w:r>
      <w:r w:rsidDel="00000000" w:rsidR="00000000" w:rsidRPr="00000000">
        <w:rPr>
          <w:rFonts w:ascii="Times New Roman" w:cs="Times New Roman" w:eastAsia="Times New Roman" w:hAnsi="Times New Roman"/>
          <w:b w:val="1"/>
          <w:bCs w:val="1"/>
          <w:color w:val="595959"/>
          <w:sz w:val="24"/>
          <w:szCs w:val="24"/>
          <w:rtl w:val="0"/>
        </w:rPr>
        <w:t xml:space="preserve"> </w:t>
      </w:r>
      <w:r w:rsidDel="00000000" w:rsidR="00000000" w:rsidRPr="00000000">
        <w:rPr>
          <w:rFonts w:ascii="Times New Roman" w:cs="Times New Roman" w:eastAsia="Times New Roman" w:hAnsi="Times New Roman"/>
          <w:b w:val="1"/>
          <w:bCs w:val="1"/>
          <w:color w:val="1f3864"/>
          <w:sz w:val="24"/>
          <w:szCs w:val="24"/>
          <w:rtl w:val="0"/>
        </w:rPr>
        <w:t xml:space="preserve">Bar and column charts </w:t>
      </w:r>
      <w:r w:rsidDel="00000000" w:rsidR="00000000" w:rsidRPr="00000000">
        <w:rPr>
          <w:rFonts w:ascii="Times New Roman" w:cs="Times New Roman" w:eastAsia="Times New Roman" w:hAnsi="Times New Roman"/>
          <w:color w:val="595959"/>
          <w:sz w:val="24"/>
          <w:szCs w:val="24"/>
          <w:rtl w:val="0"/>
        </w:rPr>
        <w:t xml:space="preserve">were used for commodity price comparisons, price volatility analysis, and identifying high-priced commodities, while</w:t>
      </w:r>
      <w:r w:rsidDel="00000000" w:rsidR="00000000" w:rsidRPr="00000000">
        <w:rPr>
          <w:rFonts w:ascii="Times New Roman" w:cs="Times New Roman" w:eastAsia="Times New Roman" w:hAnsi="Times New Roman"/>
          <w:color w:val="1f3864"/>
          <w:sz w:val="24"/>
          <w:szCs w:val="24"/>
          <w:rtl w:val="0"/>
        </w:rPr>
        <w:t xml:space="preserve"> </w:t>
      </w:r>
      <w:r w:rsidDel="00000000" w:rsidR="00000000" w:rsidRPr="00000000">
        <w:rPr>
          <w:rFonts w:ascii="Times New Roman" w:cs="Times New Roman" w:eastAsia="Times New Roman" w:hAnsi="Times New Roman"/>
          <w:b w:val="1"/>
          <w:bCs w:val="1"/>
          <w:color w:val="1f3864"/>
          <w:sz w:val="24"/>
          <w:szCs w:val="24"/>
          <w:rtl w:val="0"/>
        </w:rPr>
        <w:t xml:space="preserve">line and area</w:t>
      </w:r>
      <w:r w:rsidDel="00000000" w:rsidR="00000000" w:rsidRPr="00000000">
        <w:rPr>
          <w:rFonts w:ascii="Times New Roman" w:cs="Times New Roman" w:eastAsia="Times New Roman" w:hAnsi="Times New Roman"/>
          <w:b w:val="1"/>
          <w:bCs w:val="1"/>
          <w:color w:val="595959"/>
          <w:sz w:val="24"/>
          <w:szCs w:val="24"/>
          <w:rtl w:val="0"/>
        </w:rPr>
        <w:t xml:space="preserve"> </w:t>
      </w:r>
      <w:r w:rsidDel="00000000" w:rsidR="00000000" w:rsidRPr="00000000">
        <w:rPr>
          <w:rFonts w:ascii="Times New Roman" w:cs="Times New Roman" w:eastAsia="Times New Roman" w:hAnsi="Times New Roman"/>
          <w:color w:val="595959"/>
          <w:sz w:val="24"/>
          <w:szCs w:val="24"/>
          <w:rtl w:val="0"/>
        </w:rPr>
        <w:t xml:space="preserve">charts highlighted price and margin trends over time. </w:t>
      </w:r>
      <w:r w:rsidDel="00000000" w:rsidR="00000000" w:rsidRPr="00000000">
        <w:rPr>
          <w:rFonts w:ascii="Times New Roman" w:cs="Times New Roman" w:eastAsia="Times New Roman" w:hAnsi="Times New Roman"/>
          <w:b w:val="1"/>
          <w:bCs w:val="1"/>
          <w:color w:val="1f3864"/>
          <w:sz w:val="24"/>
          <w:szCs w:val="24"/>
          <w:rtl w:val="0"/>
        </w:rPr>
        <w:t xml:space="preserve">Scatter plots, waterfall charts, pie/donut charts, funnel charts, and geo maps</w:t>
      </w:r>
      <w:r w:rsidDel="00000000" w:rsidR="00000000" w:rsidRPr="00000000">
        <w:rPr>
          <w:rFonts w:ascii="Times New Roman" w:cs="Times New Roman" w:eastAsia="Times New Roman" w:hAnsi="Times New Roman"/>
          <w:color w:val="1f3864"/>
          <w:sz w:val="24"/>
          <w:szCs w:val="24"/>
          <w:rtl w:val="0"/>
        </w:rPr>
        <w:t xml:space="preserve"> </w:t>
      </w:r>
      <w:r w:rsidDel="00000000" w:rsidR="00000000" w:rsidRPr="00000000">
        <w:rPr>
          <w:rFonts w:ascii="Times New Roman" w:cs="Times New Roman" w:eastAsia="Times New Roman" w:hAnsi="Times New Roman"/>
          <w:color w:val="595959"/>
          <w:sz w:val="24"/>
          <w:szCs w:val="24"/>
          <w:rtl w:val="0"/>
        </w:rPr>
        <w:t xml:space="preserve">were utilized to analyze price distribution, price range differences, monthly and state-wise price patterns, state rankings, and geographical variations in prices.</w:t>
      </w:r>
    </w:p>
    <w:p w:rsidR="00000000" w:rsidDel="00000000" w:rsidP="00000000" w:rsidRDefault="00000000" w:rsidRPr="00000000" w14:paraId="00000038">
      <w:pPr>
        <w:numPr>
          <w:ilvl w:val="0"/>
          <w:numId w:val="8"/>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color w:val="2f5496"/>
          <w:sz w:val="24"/>
          <w:szCs w:val="24"/>
          <w:rtl w:val="0"/>
        </w:rPr>
        <w:t xml:space="preserve">Filters and slicer</w:t>
      </w:r>
      <w:r w:rsidDel="00000000" w:rsidR="00000000" w:rsidRPr="00000000">
        <w:rPr>
          <w:rFonts w:ascii="Times New Roman" w:cs="Times New Roman" w:eastAsia="Times New Roman" w:hAnsi="Times New Roman"/>
          <w:b w:val="1"/>
          <w:bCs w:val="1"/>
          <w:color w:val="2f5496"/>
          <w:sz w:val="26"/>
          <w:szCs w:val="26"/>
          <w:rtl w:val="0"/>
        </w:rPr>
        <w:t xml:space="preserve">s</w:t>
      </w:r>
      <w:r w:rsidDel="00000000" w:rsidR="00000000" w:rsidRPr="00000000">
        <w:rPr>
          <w:rFonts w:ascii="Times New Roman" w:cs="Times New Roman" w:eastAsia="Times New Roman" w:hAnsi="Times New Roman"/>
          <w:b w:val="1"/>
          <w:bCs w:val="1"/>
          <w:color w:val="595959"/>
          <w:sz w:val="26"/>
          <w:szCs w:val="26"/>
          <w:rtl w:val="0"/>
        </w:rPr>
        <w:t xml:space="preserve"> </w:t>
      </w:r>
      <w:r w:rsidDel="00000000" w:rsidR="00000000" w:rsidRPr="00000000">
        <w:rPr>
          <w:rFonts w:ascii="Times New Roman" w:cs="Times New Roman" w:eastAsia="Times New Roman" w:hAnsi="Times New Roman"/>
          <w:color w:val="595959"/>
          <w:sz w:val="24"/>
          <w:szCs w:val="24"/>
          <w:rtl w:val="0"/>
        </w:rPr>
        <w:t xml:space="preserve">were incorporated across the dashboards. They allow users to dynamically filter information by date, commodity, and state, providing deeper insights and improving the overall user experience.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SCREENSHOT OF DASHBOARD /REPORT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rPr>
          <w:rFonts w:ascii="Times New Roman" w:cs="Times New Roman" w:eastAsia="Times New Roman" w:hAnsi="Times New Roman"/>
          <w:b w:val="1"/>
          <w:bCs w:val="1"/>
          <w:color w:val="2f5496"/>
          <w:sz w:val="24"/>
          <w:szCs w:val="24"/>
          <w:u w:val="none"/>
        </w:rPr>
      </w:pPr>
      <w:r w:rsidDel="00000000" w:rsidR="00000000" w:rsidRPr="00000000">
        <w:rPr>
          <w:rFonts w:ascii="Times New Roman" w:cs="Times New Roman" w:eastAsia="Times New Roman" w:hAnsi="Times New Roman"/>
          <w:b w:val="1"/>
          <w:bCs w:val="1"/>
          <w:color w:val="2f5496"/>
          <w:sz w:val="24"/>
          <w:szCs w:val="24"/>
          <w:rtl w:val="0"/>
        </w:rPr>
        <w:t xml:space="preserve">Commodities Insights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Pr>
        <w:drawing>
          <wp:inline distB="114300" distT="114300" distL="114300" distR="114300">
            <wp:extent cx="4387688" cy="22574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87688"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1"/>
        </w:numPr>
        <w:spacing w:after="0" w:line="360" w:lineRule="auto"/>
        <w:ind w:left="1440" w:hanging="360"/>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State Insights</w:t>
      </w:r>
    </w:p>
    <w:p w:rsidR="00000000" w:rsidDel="00000000" w:rsidP="00000000" w:rsidRDefault="00000000" w:rsidRPr="00000000" w14:paraId="0000003D">
      <w:pPr>
        <w:spacing w:after="0" w:line="360" w:lineRule="auto"/>
        <w:ind w:left="0" w:firstLine="0"/>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                         </w:t>
      </w:r>
      <w:r w:rsidDel="00000000" w:rsidR="00000000" w:rsidRPr="00000000">
        <w:rPr>
          <w:rFonts w:ascii="Times New Roman" w:cs="Times New Roman" w:eastAsia="Times New Roman" w:hAnsi="Times New Roman"/>
          <w:b w:val="1"/>
          <w:bCs w:val="1"/>
          <w:color w:val="2f5496"/>
          <w:sz w:val="24"/>
          <w:szCs w:val="24"/>
        </w:rPr>
        <w:drawing>
          <wp:inline distB="114300" distT="114300" distL="114300" distR="114300">
            <wp:extent cx="4367213" cy="230505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67213"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
        </w:numPr>
        <w:spacing w:after="0" w:line="360" w:lineRule="auto"/>
        <w:ind w:left="1440" w:hanging="360"/>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Price Insights</w:t>
      </w:r>
    </w:p>
    <w:p w:rsidR="00000000" w:rsidDel="00000000" w:rsidP="00000000" w:rsidRDefault="00000000" w:rsidRPr="00000000" w14:paraId="0000003F">
      <w:pPr>
        <w:spacing w:after="0" w:line="360" w:lineRule="auto"/>
        <w:ind w:left="0" w:firstLine="0"/>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                         </w:t>
      </w:r>
      <w:r w:rsidDel="00000000" w:rsidR="00000000" w:rsidRPr="00000000">
        <w:rPr>
          <w:rFonts w:ascii="Times New Roman" w:cs="Times New Roman" w:eastAsia="Times New Roman" w:hAnsi="Times New Roman"/>
          <w:b w:val="1"/>
          <w:bCs w:val="1"/>
          <w:color w:val="2f5496"/>
          <w:sz w:val="24"/>
          <w:szCs w:val="24"/>
        </w:rPr>
        <w:drawing>
          <wp:inline distB="114300" distT="114300" distL="114300" distR="114300">
            <wp:extent cx="4395788" cy="21526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95788"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0" w:line="360" w:lineRule="auto"/>
        <w:jc w:val="both"/>
        <w:rPr>
          <w:rFonts w:ascii="Times New Roman" w:cs="Times New Roman" w:eastAsia="Times New Roman" w:hAnsi="Times New Roman"/>
          <w:b w:val="1"/>
          <w:bCs w:val="1"/>
          <w:color w:val="3333cc"/>
          <w:sz w:val="24"/>
          <w:szCs w:val="24"/>
        </w:rPr>
      </w:pPr>
      <w:r w:rsidDel="00000000" w:rsidR="00000000" w:rsidRPr="00000000">
        <w:rPr>
          <w:rFonts w:ascii="Times New Roman" w:cs="Times New Roman" w:eastAsia="Times New Roman" w:hAnsi="Times New Roman"/>
          <w:b w:val="1"/>
          <w:bCs w:val="1"/>
          <w:color w:val="3333cc"/>
          <w:sz w:val="24"/>
          <w:szCs w:val="24"/>
          <w:rtl w:val="0"/>
        </w:rPr>
        <w:t xml:space="preserve">9. Insights </w:t>
      </w:r>
    </w:p>
    <w:p w:rsidR="00000000" w:rsidDel="00000000" w:rsidP="00000000" w:rsidRDefault="00000000" w:rsidRPr="00000000" w14:paraId="00000042">
      <w:pPr>
        <w:numPr>
          <w:ilvl w:val="0"/>
          <w:numId w:val="3"/>
        </w:numPr>
        <w:spacing w:after="0" w:line="360" w:lineRule="auto"/>
        <w:ind w:left="720"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Key Findings:</w:t>
      </w:r>
      <w:r w:rsidDel="00000000" w:rsidR="00000000" w:rsidRPr="00000000">
        <w:rPr>
          <w:rFonts w:ascii="Times New Roman" w:cs="Times New Roman" w:eastAsia="Times New Roman" w:hAnsi="Times New Roman"/>
          <w:color w:val="1f3864"/>
          <w:sz w:val="24"/>
          <w:szCs w:val="24"/>
          <w:rtl w:val="0"/>
        </w:rPr>
        <w:t xml:space="preserve"> </w:t>
      </w:r>
      <w:r w:rsidDel="00000000" w:rsidR="00000000" w:rsidRPr="00000000">
        <w:rPr>
          <w:rFonts w:ascii="Times New Roman" w:cs="Times New Roman" w:eastAsia="Times New Roman" w:hAnsi="Times New Roman"/>
          <w:color w:val="595959"/>
          <w:sz w:val="24"/>
          <w:szCs w:val="24"/>
          <w:rtl w:val="0"/>
        </w:rPr>
        <w:t xml:space="preserve">The study identified notable differences in commodity prices across states and market types. While some commodities showed stable pricing over time, others experienced higher price volatility and wider retail-wholesale price spreads. </w:t>
      </w:r>
    </w:p>
    <w:p w:rsidR="00000000" w:rsidDel="00000000" w:rsidP="00000000" w:rsidRDefault="00000000" w:rsidRPr="00000000" w14:paraId="00000043">
      <w:pPr>
        <w:numPr>
          <w:ilvl w:val="0"/>
          <w:numId w:val="3"/>
        </w:numPr>
        <w:spacing w:after="0" w:line="360" w:lineRule="auto"/>
        <w:ind w:left="720"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Provide the analysis insights:</w:t>
      </w:r>
      <w:r w:rsidDel="00000000" w:rsidR="00000000" w:rsidRPr="00000000">
        <w:rPr>
          <w:rtl w:val="0"/>
        </w:rPr>
      </w:r>
    </w:p>
    <w:p w:rsidR="00000000" w:rsidDel="00000000" w:rsidP="00000000" w:rsidRDefault="00000000" w:rsidRPr="00000000" w14:paraId="00000044">
      <w:pPr>
        <w:numPr>
          <w:ilvl w:val="2"/>
          <w:numId w:val="3"/>
        </w:numPr>
        <w:spacing w:after="0" w:line="360" w:lineRule="auto"/>
        <w:ind w:left="1134" w:hanging="360"/>
        <w:jc w:val="both"/>
        <w:rPr>
          <w:rFonts w:ascii="Times New Roman" w:cs="Times New Roman" w:eastAsia="Times New Roman" w:hAnsi="Times New Roman"/>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Descriptive </w:t>
      </w:r>
    </w:p>
    <w:p w:rsidR="00000000" w:rsidDel="00000000" w:rsidP="00000000" w:rsidRDefault="00000000" w:rsidRPr="00000000" w14:paraId="00000045">
      <w:pPr>
        <w:spacing w:after="0" w:line="360" w:lineRule="auto"/>
        <w:ind w:left="2160" w:firstLine="0"/>
        <w:jc w:val="both"/>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The analysis summarized retail and wholesale commodity prices across different states and time periods. It identified the highest and lowest priced commodities, state-wise price variations, and overall pricing trends. </w:t>
      </w:r>
    </w:p>
    <w:p w:rsidR="00000000" w:rsidDel="00000000" w:rsidP="00000000" w:rsidRDefault="00000000" w:rsidRPr="00000000" w14:paraId="00000046">
      <w:pPr>
        <w:spacing w:after="0" w:line="360" w:lineRule="auto"/>
        <w:ind w:left="0" w:firstLine="0"/>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color w:val="595959"/>
          <w:sz w:val="24"/>
          <w:szCs w:val="24"/>
          <w:rtl w:val="0"/>
        </w:rPr>
        <w:t xml:space="preserve">                    </w:t>
      </w:r>
      <w:r w:rsidDel="00000000" w:rsidR="00000000" w:rsidRPr="00000000">
        <w:rPr>
          <w:rFonts w:ascii="Times New Roman" w:cs="Times New Roman" w:eastAsia="Times New Roman" w:hAnsi="Times New Roman"/>
          <w:b w:val="1"/>
          <w:bCs w:val="1"/>
          <w:color w:val="1f3864"/>
          <w:sz w:val="24"/>
          <w:szCs w:val="24"/>
          <w:rtl w:val="0"/>
        </w:rPr>
        <w:t xml:space="preserve">Diagnosis</w:t>
      </w:r>
    </w:p>
    <w:p w:rsidR="00000000" w:rsidDel="00000000" w:rsidP="00000000" w:rsidRDefault="00000000" w:rsidRPr="00000000" w14:paraId="00000047">
      <w:pPr>
        <w:spacing w:after="0" w:line="360" w:lineRule="auto"/>
        <w:ind w:left="2160" w:firstLine="0"/>
        <w:jc w:val="both"/>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The analysis revealed that differences in commodity prices were influenced by location, market type (retail vs. wholesale), and commodity category. Some commodities showed higher price volatility, resulting in larger price spreads. </w:t>
      </w:r>
    </w:p>
    <w:p w:rsidR="00000000" w:rsidDel="00000000" w:rsidP="00000000" w:rsidRDefault="00000000" w:rsidRPr="00000000" w14:paraId="00000048">
      <w:pPr>
        <w:numPr>
          <w:ilvl w:val="2"/>
          <w:numId w:val="3"/>
        </w:numPr>
        <w:spacing w:after="0" w:line="360" w:lineRule="auto"/>
        <w:ind w:left="1134" w:hanging="360"/>
        <w:jc w:val="both"/>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Predictive</w:t>
      </w:r>
    </w:p>
    <w:p w:rsidR="00000000" w:rsidDel="00000000" w:rsidP="00000000" w:rsidRDefault="00000000" w:rsidRPr="00000000" w14:paraId="00000049">
      <w:pPr>
        <w:spacing w:after="0" w:line="360" w:lineRule="auto"/>
        <w:ind w:left="2160" w:firstLine="0"/>
        <w:jc w:val="both"/>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Based on historical price patterns, commodities with consistently high prices are likely to remain relatively expensive in the near future. Stable commodities are expected to maintain similar pricing trends unless significant market changes occur. </w:t>
      </w:r>
    </w:p>
    <w:p w:rsidR="00000000" w:rsidDel="00000000" w:rsidP="00000000" w:rsidRDefault="00000000" w:rsidRPr="00000000" w14:paraId="0000004A">
      <w:pPr>
        <w:numPr>
          <w:ilvl w:val="2"/>
          <w:numId w:val="3"/>
        </w:numPr>
        <w:spacing w:after="0" w:line="360" w:lineRule="auto"/>
        <w:ind w:left="1134" w:hanging="360"/>
        <w:jc w:val="both"/>
        <w:rPr>
          <w:rFonts w:ascii="Times New Roman" w:cs="Times New Roman" w:eastAsia="Times New Roman" w:hAnsi="Times New Roman"/>
          <w:b w:val="1"/>
          <w:bCs w:val="1"/>
          <w:color w:val="1f3864"/>
          <w:sz w:val="24"/>
          <w:szCs w:val="24"/>
        </w:rPr>
      </w:pPr>
      <w:r w:rsidDel="00000000" w:rsidR="00000000" w:rsidRPr="00000000">
        <w:rPr>
          <w:rFonts w:ascii="Times New Roman" w:cs="Times New Roman" w:eastAsia="Times New Roman" w:hAnsi="Times New Roman"/>
          <w:b w:val="1"/>
          <w:bCs w:val="1"/>
          <w:color w:val="1f3864"/>
          <w:sz w:val="24"/>
          <w:szCs w:val="24"/>
          <w:rtl w:val="0"/>
        </w:rPr>
        <w:t xml:space="preserve">Prescriptive</w:t>
      </w:r>
    </w:p>
    <w:p w:rsidR="00000000" w:rsidDel="00000000" w:rsidP="00000000" w:rsidRDefault="00000000" w:rsidRPr="00000000" w14:paraId="0000004B">
      <w:pPr>
        <w:spacing w:after="0" w:line="360" w:lineRule="auto"/>
        <w:ind w:left="2160" w:firstLine="0"/>
        <w:jc w:val="both"/>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Regular monitoring of price spreads can help identify commodities with unusual price fluctuations. Decision-makers can focus on commodities and states with high price volatility to improve pricing transparency and market efficiency. </w:t>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3333cc"/>
          <w:sz w:val="24"/>
          <w:szCs w:val="24"/>
          <w:rtl w:val="0"/>
        </w:rPr>
        <w:t xml:space="preserve">10. Conclusions </w:t>
      </w:r>
      <w:r w:rsidDel="00000000" w:rsidR="00000000" w:rsidRPr="00000000">
        <w:rPr>
          <w:rtl w:val="0"/>
        </w:rPr>
      </w:r>
    </w:p>
    <w:p w:rsidR="00000000" w:rsidDel="00000000" w:rsidP="00000000" w:rsidRDefault="00000000" w:rsidRPr="00000000" w14:paraId="0000004D">
      <w:pPr>
        <w:spacing w:after="0" w:line="360" w:lineRule="auto"/>
        <w:jc w:val="both"/>
        <w:rPr>
          <w:rFonts w:ascii="Times New Roman" w:cs="Times New Roman" w:eastAsia="Times New Roman" w:hAnsi="Times New Roman"/>
          <w:color w:val="595959"/>
          <w:sz w:val="24"/>
          <w:szCs w:val="24"/>
        </w:rPr>
      </w:pPr>
      <w:r w:rsidDel="00000000" w:rsidR="00000000" w:rsidRPr="00000000">
        <w:rPr>
          <w:rFonts w:ascii="Times New Roman" w:cs="Times New Roman" w:eastAsia="Times New Roman" w:hAnsi="Times New Roman"/>
          <w:color w:val="595959"/>
          <w:sz w:val="24"/>
          <w:szCs w:val="24"/>
          <w:rtl w:val="0"/>
        </w:rPr>
        <w:t xml:space="preserve">              This project analyzed retail and wholesale commodity prices using Excel and Power BI to uncover pricing trends, state-wise variations, and price spreads. The findings demonstrated the value of data analytics in understanding market behavior and supporting informed decision-making through interactive dashboards and visualizations. </w:t>
      </w:r>
    </w:p>
    <w:sectPr>
      <w:pgSz w:h="16838" w:w="11906" w:orient="portrait"/>
      <w:pgMar w:bottom="993" w:top="709"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b w:val="1"/>
        <w:bCs w:val="1"/>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m/Ha0Oa4tpwqkBO+Il03LmnA==">CgMxLjA4AHIhMUIzVDBzLVNFcFR5TDM0NmJVUFJsak81bjdGdGZQRnlL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