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t xml:space="preserve">1. What the Market Research Actually Says</w:t>
      </w:r>
    </w:p>
    <w:p>
      <w:pPr>
        <w:spacing w:after="120"/>
      </w:pPr>
      <w:r>
        <w:rPr>
          <w:b/>
          <w:bCs/>
        </w:rPr>
        <w:t xml:space="preserve">The honest headline: the tool layer is crowded and commoditising; the AU delivery layer is not. </w:t>
      </w:r>
      <w:r>
        <w:t xml:space="preserve">Research conducted 12 July 2026 across AEO/GEO tool roundups, AU agency landscape reports, and AU SMB coverage.</w:t>
      </w:r>
    </w:p>
    <w:p>
      <w:pPr>
        <w:pStyle w:val="Heading2"/>
        <w:spacing w:after="120" w:before="240"/>
      </w:pPr>
      <w:r>
        <w:t xml:space="preserve">1.1 The tool market is saturated and price-collapsing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Dozens of credible players: Profound (enterprise, ~$99-$3,000/mo, 1.5B+ prompt corpus), Semrush AI Visibility Toolkit (289M prompt DB, bundled into an existing suite), Ahrefs Brand Radar, Scrunch, Conductor, Adobe LLM Optimizer, AthenaHQ, Bluefish, Goodie ($495/mo, 11+ engines incl. Amazon Rufus), Peec AI (~€89/mo), Otterly ($29/mo), Geoptie (US$49/mo, 5 engines + content optimisation), HubSpot AEO Grader (free).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Entry pricing has collapsed to $20-$99/mo. "Track my brand across ChatGPT/Claude/Gemini/Perplexity" is now table stakes, not a product.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consistent verdict across every roundup: "do not buy a dashboard, buy a workflow." Monitoring is commodity; the value has migrated to ACTION — which gaps, which sources, what to fix first, in what order.</w:t>
      </w:r>
    </w:p>
    <w:p>
      <w:pPr>
        <w:pStyle w:val="Heading2"/>
        <w:spacing w:after="120" w:before="240"/>
      </w:pPr>
      <w:r>
        <w:t xml:space="preserve">1.2 The AU-specific gaps are real (this is your opening)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residency: </w:t>
      </w:r>
      <w:r>
        <w:t xml:space="preserve">Profound is US-HQ with no AU data residency option; US contracts mean longer legal cycles for any AU business with compliance review. No major player offers AU residency.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Billing: </w:t>
      </w:r>
      <w:r>
        <w:t xml:space="preserve">mid-tier tools price in USD only; "no Australian dollar billing yet" is stated explicitly for the mid-market leaders.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Language: </w:t>
      </w:r>
      <w:r>
        <w:t xml:space="preserve">agentic content engines "generate US English by default, which means an extra editing pass if you write in Australian English."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Local entity mechanics: </w:t>
      </w:r>
      <w:r>
        <w:t xml:space="preserve">for AU SMBs the Google Business Profile is now "more important than the website itself for local discovery" — suburb-level, service-area, ABN/entity-consistency signals. None of the global tools model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Demand signal: </w:t>
      </w:r>
      <w:r>
        <w:t xml:space="preserve">AU agencies are all now claiming GEO capability, and the AU trade press is openly warning buyers that most have "renamed content marketing." Agencies need a defensible measurement layer they did not build — that is a product-shaped hole.</w:t>
      </w:r>
    </w:p>
    <w:p>
      <w:pPr>
        <w:pStyle w:val="Heading2"/>
        <w:spacing w:after="120" w:before="240"/>
      </w:pPr>
      <w:r>
        <w:t xml:space="preserve">1.3 The uncomfortable finding</w:t>
      </w:r>
    </w:p>
    <w:p>
      <w:pPr>
        <w:spacing w:after="120"/>
      </w:pPr>
      <w:r>
        <w:rPr>
          <w:b/>
          <w:bCs/>
        </w:rPr>
        <w:t xml:space="preserve">Two of your three roadmap phases are aimed at the commoditising half of the market. </w:t>
      </w:r>
      <w:r>
        <w:t xml:space="preserve">Multi-region moves you toward the global tools (who already have residency, corpora and coverage you cannot match solo). Presence Lenses moves you toward the ACTION layer — which is where every roundup says the value is. That asymmetry should inform sequencing more than any tooling decision. It is also why GTM must come first: the first ten customers will tell you which lens is worth building, and no amount of pre-building substitutes for that.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2. Positioning — Pick the Wedge, Not the Category</w:t>
      </w:r>
    </w:p>
    <w:p>
      <w:pPr>
        <w:spacing w:after="120"/>
      </w:pPr>
      <w:r>
        <w:rPr>
          <w:b/>
          <w:bCs/>
        </w:rPr>
        <w:t xml:space="preserve">Do NOT position as "an AI visibility tracker." </w:t>
      </w:r>
      <w:r>
        <w:t xml:space="preserve">That is a $29/mo commodity with fifteen funded competitors. Position on the intersection nobody else can serve:</w:t>
      </w:r>
    </w:p>
    <w:p>
      <w:pPr>
        <w:spacing w:after="120"/>
      </w:pPr>
      <w:r>
        <w:rPr>
          <w:b/>
          <w:bCs/>
        </w:rPr>
        <w:t xml:space="preserve">"The AI-visibility audit built for Australian brands and the agencies that serve them — AU data residency, AUD billing, Australian English, and suburb-level local entity signals that global tools do not model."</w:t>
      </w:r>
    </w:p>
    <w:p>
      <w:pPr>
        <w:spacing w:after="120"/>
      </w:pPr>
      <w:r>
        <w:rPr>
          <w:b/>
          <w:bCs/>
        </w:rPr>
        <w:t xml:space="preserve">Three defensible claims, in priority order: </w:t>
      </w:r>
      <w:r>
        <w:t xml:space="preserve">(1) AU-first measurement — prompts, entity graph and local signals modelled for AU market reality, not a US product with a currency toggle. (2) Agency-native — white-label PDF, client portal, multi-brand isolation already built (Phase 1). (3) Sovereign — data stays in AU; no US procurement cycle. Claim 3 is the one a global competitor cannot copy in a quarter.</w:t>
      </w:r>
    </w:p>
    <w:p>
      <w:pPr>
        <w:pStyle w:val="Heading1"/>
        <w:spacing w:after="160" w:before="320"/>
      </w:pPr>
      <w:r>
        <w:t xml:space="preserve">3. The First-Customers Plan (agencies first, SMBs second)</w:t>
      </w:r>
    </w:p>
    <w:p>
      <w:pPr>
        <w:spacing w:after="120"/>
      </w:pPr>
      <w:r>
        <w:rPr>
          <w:b/>
          <w:bCs/>
        </w:rPr>
        <w:t xml:space="preserve">Target the agency, not the SMB. </w:t>
      </w:r>
      <w:r>
        <w:t xml:space="preserve">One AU agency = 5-40 client brands = a multi-brand account. AU agencies are under active pressure to prove GEO capability, the trade press is telling their buyers to interrogate them, and they cannot build a measurement layer themselves. You already built the agency portal and white-label PDF builder in Phase 1 — that asset only pays off in this segment.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rPr>
          <w:tblHeader/>
        </w:trPr>
        <w:tc>
          <w:tcPr>
            <w:tcW w:type="dxa" w:w="800"/>
            <w:shd w:fill="D5E8F0" w:color="auto" w:val="clear"/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5560"/>
            <w:shd w:fill="D5E8F0" w:color="auto" w:val="clea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3000"/>
            <w:shd w:fill="D5E8F0" w:color="auto" w:val="clear"/>
          </w:tcPr>
          <w:p>
            <w:r>
              <w:rPr>
                <w:b/>
                <w:bCs/>
              </w:rPr>
              <w:t xml:space="preserve">Time / target</w:t>
            </w:r>
          </w:p>
        </w:tc>
      </w:tr>
      <w:tr>
        <w:tc>
          <w:tcPr>
            <w:tcW w:type="dxa" w:w="800"/>
          </w:tcPr>
          <w:p>
            <w:r>
              <w:t xml:space="preserve">1</w:t>
            </w:r>
          </w:p>
        </w:tc>
        <w:tc>
          <w:tcPr>
            <w:tcW w:type="dxa" w:w="5560"/>
          </w:tcPr>
          <w:p>
            <w:r>
              <w:t xml:space="preserve">Build the FREE AU AI-Visibility Scorecard: enter a domain → a real audit runs → a branded PDF lands in the inbox. This is the acquisition engine AND the demo. Everything needed already exists (audit engine, prompt packs, PDF builder). Cap the free tier at 1 brand / 1 run per month.</w:t>
            </w:r>
          </w:p>
        </w:tc>
        <w:tc>
          <w:tcPr>
            <w:tcW w:type="dxa" w:w="3000"/>
          </w:tcPr>
          <w:p>
            <w:r>
              <w:t xml:space="preserve">~8-12 hrs. Ship first.</w:t>
            </w:r>
          </w:p>
        </w:tc>
      </w:tr>
      <w:tr>
        <w:tc>
          <w:tcPr>
            <w:tcW w:type="dxa" w:w="800"/>
          </w:tcPr>
          <w:p>
            <w:r>
              <w:t xml:space="preserve">2</w:t>
            </w:r>
          </w:p>
        </w:tc>
        <w:tc>
          <w:tcPr>
            <w:tcW w:type="dxa" w:w="5560"/>
          </w:tcPr>
          <w:p>
            <w:r>
              <w:t xml:space="preserve">Run 25 audits UNASKED on named AU agencies' own brands + one of their marquee clients. Send the PDF cold with one line: "Your client X is invisible for [specific AU prompt]; their competitor Y is cited. Full audit attached, no charge." Evidence, not pitch.</w:t>
            </w:r>
          </w:p>
        </w:tc>
        <w:tc>
          <w:tcPr>
            <w:tcW w:type="dxa" w:w="3000"/>
          </w:tcPr>
          <w:p>
            <w:r>
              <w:t xml:space="preserve">25 agencies, ~2 weekends</w:t>
            </w:r>
          </w:p>
        </w:tc>
      </w:tr>
      <w:tr>
        <w:tc>
          <w:tcPr>
            <w:tcW w:type="dxa" w:w="800"/>
          </w:tcPr>
          <w:p>
            <w:r>
              <w:t xml:space="preserve">3</w:t>
            </w:r>
          </w:p>
        </w:tc>
        <w:tc>
          <w:tcPr>
            <w:tcW w:type="dxa" w:w="5560"/>
          </w:tcPr>
          <w:p>
            <w:r>
              <w:t xml:space="preserve">Convert the responders to a paid pilot: $199-$399/mo AUD, up to 10 client brands, monthly re-audit + white-label PDFs. Price in AUD deliberately and say so. Target: 3 paying agencies.</w:t>
            </w:r>
          </w:p>
        </w:tc>
        <w:tc>
          <w:tcPr>
            <w:tcW w:type="dxa" w:w="3000"/>
          </w:tcPr>
          <w:p>
            <w:r>
              <w:t xml:space="preserve">Target 3 by end of Sprint-equivalent 4 weeks</w:t>
            </w:r>
          </w:p>
        </w:tc>
      </w:tr>
      <w:tr>
        <w:tc>
          <w:tcPr>
            <w:tcW w:type="dxa" w:w="800"/>
          </w:tcPr>
          <w:p>
            <w:r>
              <w:t xml:space="preserve">4</w:t>
            </w:r>
          </w:p>
        </w:tc>
        <w:tc>
          <w:tcPr>
            <w:tcW w:type="dxa" w:w="5560"/>
          </w:tcPr>
          <w:p>
            <w:r>
              <w:t xml:space="preserve">Publish the AU AI-Visibility Index: aggregate anonymised findings by AU vertical (trades, hospitality, professional services, health). "Only N% of AU accountants are cited by ChatGPT for their own suburb." This is PR bait, GEO-optimised, and it makes YOU the cited entity for AU AI-visibility queries — you eat your own dog food, publicly.</w:t>
            </w:r>
          </w:p>
        </w:tc>
        <w:tc>
          <w:tcPr>
            <w:tcW w:type="dxa" w:w="3000"/>
          </w:tcPr>
          <w:p>
            <w:r>
              <w:t xml:space="preserve">Quarterly. First one at 25 audits.</w:t>
            </w:r>
          </w:p>
        </w:tc>
      </w:tr>
      <w:tr>
        <w:tc>
          <w:tcPr>
            <w:tcW w:type="dxa" w:w="800"/>
          </w:tcPr>
          <w:p>
            <w:r>
              <w:t xml:space="preserve">5</w:t>
            </w:r>
          </w:p>
        </w:tc>
        <w:tc>
          <w:tcPr>
            <w:tcW w:type="dxa" w:w="5560"/>
          </w:tcPr>
          <w:p>
            <w:r>
              <w:t xml:space="preserve">Only after 3 paying customers: instrument what they actually ask for. Every feature request goes in a single ranked list. That list — not the roadmap — decides what gets built next.</w:t>
            </w:r>
          </w:p>
        </w:tc>
        <w:tc>
          <w:tcPr>
            <w:tcW w:type="dxa" w:w="3000"/>
          </w:tcPr>
          <w:p>
            <w:r>
              <w:t xml:space="preserve">Ongoing. This is the GTM signal.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2"/>
        <w:spacing w:after="120" w:before="240"/>
      </w:pPr>
      <w:r>
        <w:t xml:space="preserve">3.1 Pricing anchor</w:t>
      </w:r>
    </w:p>
    <w:p>
      <w:pPr>
        <w:spacing w:after="120"/>
      </w:pPr>
      <w:r>
        <w:t xml:space="preserve">The market brackets you: commodity monitoring $29-99 USD; mid-market action tools $99-495 USD; enterprise $780-3,000+ USD. An AU agency reselling to 10 clients at $199-399 AUD/mo lands beneath the mid-market USD tools while offering residency + AUD + AU-English they cannot get at any price. Do not compete at $29 — that segment churns and cannot be served profitably solo.</w:t>
      </w:r>
    </w:p>
    <w:p>
      <w:pPr>
        <w:pStyle w:val="Heading1"/>
        <w:spacing w:after="160" w:before="320"/>
      </w:pPr>
      <w:r>
        <w:t xml:space="preserve">4. What NOT to 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not build more product before 3 paying customers. Phase 2 is feature-complete enough to sell; the gap is distribution, not capability.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not chase enterprise. Procurement cycles will consume your entire 8 hrs/week and you cannot service the SLA solo.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not add engines to compete on coverage. Goodie tracks 11+. That race is lost and it does not matter to an AU tradie.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not start multi-region. It is the phase that walks you INTO the crowded global market and away from your only moat.</w:t>
      </w:r>
    </w:p>
    <w:sectPr>
      <w:pgSz w:w="11906" w:h="16838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VisibleAU Go-To-Market Plan — 2026-07-12</dc:title>
  <dc:creator>Un-named</dc:creator>
  <dc:description>Market research (July 2026) finds the AI-visibility TOOL layer saturated and price-collapsing ($20-99/mo entry, 15+ credible players), with value migrating from dashboards to action workflows. The defensible AU gaps are real: no major player offers AU data residency, AUD billing, Australian English, or suburb-level local entity modelling. Recommendation: position as AU-first + agency-native + sovereign; lead with a free AU AI-Visibility Scorecard as acquisition engine; cold-audit 25 AU agencies with evidence rather than pitch; target 3 paying agencies at $199-399 AUD/mo; publish an AU AI-Visibility Index as PR and self-demonstrating GEO. Do not build further product until 3 customers are paying.</dc:description>
  <cp:lastModifiedBy>Un-named</cp:lastModifiedBy>
  <cp:revision>1</cp:revision>
  <dcterms:created xsi:type="dcterms:W3CDTF">2026-07-12T02:57:01.514Z</dcterms:created>
  <dcterms:modified xsi:type="dcterms:W3CDTF">2026-07-12T02:57:01.530Z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