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t xml:space="preserve">0. PROVISIONAL — Read This Before Anything Else</w:t>
      </w:r>
    </w:p>
    <w:p>
      <w:pPr>
        <w:spacing w:after="120"/>
      </w:pPr>
      <w:r>
        <w:rPr>
          <w:b/>
          <w:bCs/>
        </w:rPr>
        <w:t xml:space="preserve">This plan is explicitly conditional on GTM signal and must not be executed as written. </w:t>
      </w:r>
      <w:r>
        <w:t xml:space="preserve">It exists so that when the first paying customers tell you what to build, you already know HOW to build it fast. The ordering below (multi-region → Presence Lenses → Control Plane) is your pre-GTM roadmap; the July 2026 market research suggests that ordering is probably WRONG — Presence Lenses targets the action layer where value is migrating, while multi-region walks into the crowded global market. Expect to re-order. The execution METHOD below survives re-ordering; the sequence does not.</w:t>
      </w:r>
    </w:p>
    <w:p>
      <w:pPr>
        <w:spacing w:after="120"/>
      </w:pPr>
      <w:r>
        <w:rPr>
          <w:b/>
          <w:bCs/>
        </w:rPr>
        <w:t xml:space="preserve">Trigger to activate: </w:t>
      </w:r>
      <w:r>
        <w:t xml:space="preserve">3 paying AU agencies + a ranked feature list built from what they actually asked for. Until then, the only work worth doing from this document is §5 (the parallel-execution capability), which pays off immediately on GTM bug-fixes and small features.</w:t>
      </w:r>
    </w:p>
    <w:p>
      <w:pPr>
        <w:pStyle w:val="Heading1"/>
        <w:spacing w:after="160" w:before="320"/>
      </w:pPr>
      <w:r>
        <w:t xml:space="preserve">1. The Method (recap — this is what transfers)</w:t>
      </w:r>
    </w:p>
    <w:p>
      <w:pPr>
        <w:spacing w:after="120"/>
      </w:pPr>
      <w:r>
        <w:rPr>
          <w:b/>
          <w:bCs/>
        </w:rPr>
        <w:t xml:space="preserve">Parallelism is bought with frozen contracts, spent between gates, and capped by review bandwidth. </w:t>
      </w:r>
      <w:r>
        <w:t xml:space="preserve">Four questions decide the topology of ANY phase — ask them before choosing a mechanism:</w:t>
      </w:r>
    </w:p>
    <w:p>
      <w:pPr>
        <w:pStyle w:val="ListParagraph"/>
        <w:numPr>
          <w:ilvl w:val="0"/>
          <w:numId w:val="2"/>
        </w:numPr>
        <w:spacing w:after="80"/>
      </w:pPr>
      <w:r>
        <w:rPr>
          <w:b/>
          <w:bCs/>
        </w:rPr>
        <w:t xml:space="preserve">Q1 What is the shared spine? </w:t>
      </w:r>
      <w:r>
        <w:t xml:space="preserve">Whatever everything else inherits from. It is sequential, always.</w:t>
      </w:r>
    </w:p>
    <w:p>
      <w:pPr>
        <w:pStyle w:val="ListParagraph"/>
        <w:numPr>
          <w:ilvl w:val="0"/>
          <w:numId w:val="2"/>
        </w:numPr>
        <w:spacing w:after="80"/>
      </w:pPr>
      <w:r>
        <w:rPr>
          <w:b/>
          <w:bCs/>
        </w:rPr>
        <w:t xml:space="preserve">Q2 Where are the contracts frozen? </w:t>
      </w:r>
      <w:r>
        <w:t xml:space="preserve">Parallel tracks are only safe where the interface between them is already decided and written down. Freeze first, fan out second.</w:t>
      </w:r>
    </w:p>
    <w:p>
      <w:pPr>
        <w:pStyle w:val="ListParagraph"/>
        <w:numPr>
          <w:ilvl w:val="0"/>
          <w:numId w:val="2"/>
        </w:numPr>
        <w:spacing w:after="80"/>
      </w:pPr>
      <w:r>
        <w:rPr>
          <w:b/>
          <w:bCs/>
        </w:rPr>
        <w:t xml:space="preserve">Q3 What touches shared files? </w:t>
      </w:r>
      <w:r>
        <w:t xml:space="preserve">Migrations, config, core state = single-writer by construction. No coordination cleverness fixes two agents editing one file.</w:t>
      </w:r>
    </w:p>
    <w:p>
      <w:pPr>
        <w:pStyle w:val="ListParagraph"/>
        <w:numPr>
          <w:ilvl w:val="0"/>
          <w:numId w:val="2"/>
        </w:numPr>
        <w:spacing w:after="80"/>
      </w:pPr>
      <w:r>
        <w:rPr>
          <w:b/>
          <w:bCs/>
        </w:rPr>
        <w:t xml:space="preserve">Q4 What is genuinely independent? </w:t>
      </w:r>
      <w:r>
        <w:t xml:space="preserve">A separate deployable consuming a stable contract can run CONCURRENTLY, not after. This is where the free wall-clock lives.</w:t>
      </w:r>
    </w:p>
    <w:p>
      <w:r>
        <w:br w:type="page"/>
      </w:r>
    </w:p>
    <w:p>
      <w:pPr>
        <w:pStyle w:val="Heading1"/>
        <w:spacing w:after="160" w:before="320"/>
      </w:pPr>
      <w:r>
        <w:t xml:space="preserve">2. Multi-Region — Mostly Sequential (and that is correct)</w:t>
      </w:r>
    </w:p>
    <w:p>
      <w:pPr>
        <w:spacing w:after="120"/>
      </w:pPr>
      <w:r>
        <w:rPr>
          <w:b/>
          <w:bCs/>
        </w:rPr>
        <w:t xml:space="preserve">Verdict: this is a migration, not a features phase. Do not parallelise it. </w:t>
      </w:r>
      <w:r>
        <w:t xml:space="preserve">Region-scoping touches schema, the audit engine, prompt packs, tier resolution and brand isolation — the shared spine, all of it. It is the init.sql problem at codebase scale.</w:t>
      </w:r>
    </w:p>
    <w:p>
      <w:pPr>
        <w:spacing w:after="120"/>
      </w:pPr>
      <w:r>
        <w:rPr>
          <w:b/>
          <w:bCs/>
        </w:rPr>
        <w:t xml:space="preserve">The specific risk, named: </w:t>
      </w:r>
      <w:r>
        <w:t xml:space="preserve">the visibleau/visibleau_prod migration gap has caused production outages 5+ times. Parallel tracks authoring migrations is a machine for manufacturing exactly that failure, and multi-region is nothing BUT migrations. The one hard rule: ONE WRITER PER MIGRATION,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D5E8F0" w:color="auto" w:val="clear"/>
          </w:tcPr>
          <w:p>
            <w:r>
              <w:rPr>
                <w:b/>
                <w:bCs/>
              </w:rPr>
              <w:t xml:space="preserve">Track</w:t>
            </w:r>
          </w:p>
        </w:tc>
        <w:tc>
          <w:tcPr>
            <w:tcW w:type="dxa" w:w="4160"/>
            <w:shd w:fill="D5E8F0" w:color="auto" w:val="clear"/>
          </w:tcPr>
          <w:p>
            <w:r>
              <w:rPr>
                <w:b/>
                <w:bCs/>
              </w:rPr>
              <w:t xml:space="preserve">Mechanism</w:t>
            </w:r>
          </w:p>
        </w:tc>
        <w:tc>
          <w:tcPr>
            <w:tcW w:type="dxa" w:w="3000"/>
            <w:shd w:fill="D5E8F0" w:color="auto" w:val="clear"/>
          </w:tcPr>
          <w:p>
            <w:r>
              <w:rPr>
                <w:b/>
                <w:bCs/>
              </w:rPr>
              <w:t xml:space="preserve">Why</w:t>
            </w:r>
          </w:p>
        </w:tc>
      </w:tr>
      <w:tr>
        <w:tc>
          <w:tcPr>
            <w:tcW w:type="dxa" w:w="2200"/>
          </w:tcPr>
          <w:p>
            <w:r>
              <w:t xml:space="preserve">Region schema + engine</w:t>
            </w:r>
          </w:p>
        </w:tc>
        <w:tc>
          <w:tcPr>
            <w:tcW w:type="dxa" w:w="4160"/>
          </w:tcPr>
          <w:p>
            <w:r>
              <w:t xml:space="preserve">PRIMARY SESSION, single-writer. No teammates.</w:t>
            </w:r>
          </w:p>
        </w:tc>
        <w:tc>
          <w:tcPr>
            <w:tcW w:type="dxa" w:w="3000"/>
          </w:tcPr>
          <w:p>
            <w:r>
              <w:t xml:space="preserve">Shared spine. Migrations. Non-negotiable.</w:t>
            </w:r>
          </w:p>
        </w:tc>
      </w:tr>
      <w:tr>
        <w:tc>
          <w:tcPr>
            <w:tcW w:type="dxa" w:w="2200"/>
          </w:tcPr>
          <w:p>
            <w:r>
              <w:t xml:space="preserve">Region isolation tests</w:t>
            </w:r>
          </w:p>
        </w:tc>
        <w:tc>
          <w:tcPr>
            <w:tcW w:type="dxa" w:w="4160"/>
          </w:tcPr>
          <w:p>
            <w:r>
              <w:t xml:space="preserve">qa-verifier SUBAGENT, from the spec text, never reading src/</w:t>
            </w:r>
          </w:p>
        </w:tc>
        <w:tc>
          <w:tcPr>
            <w:tcW w:type="dxa" w:w="3000"/>
          </w:tcPr>
          <w:p>
            <w:r>
              <w:t xml:space="preserve">The one safe parallel gain. Catches what green builds hide — your S2/S4/S7 pattern.</w:t>
            </w:r>
          </w:p>
        </w:tc>
      </w:tr>
      <w:tr>
        <w:tc>
          <w:tcPr>
            <w:tcW w:type="dxa" w:w="2200"/>
          </w:tcPr>
          <w:p>
            <w:r>
              <w:t xml:space="preserve">Region prompt packs</w:t>
            </w:r>
          </w:p>
        </w:tc>
        <w:tc>
          <w:tcPr>
            <w:tcW w:type="dxa" w:w="4160"/>
          </w:tcPr>
          <w:p>
            <w:r>
              <w:t xml:space="preserve">2nd WORKTREE (content, not schema)</w:t>
            </w:r>
          </w:p>
        </w:tc>
        <w:tc>
          <w:tcPr>
            <w:tcW w:type="dxa" w:w="3000"/>
          </w:tcPr>
          <w:p>
            <w:r>
              <w:t xml:space="preserve">Genuinely separable: AU vs other-region prompt content shares no files with the migration.</w:t>
            </w:r>
          </w:p>
        </w:tc>
      </w:tr>
      <w:tr>
        <w:tc>
          <w:tcPr>
            <w:tcW w:type="dxa" w:w="2200"/>
          </w:tcPr>
          <w:p>
            <w:r>
              <w:t xml:space="preserve">Gate</w:t>
            </w:r>
          </w:p>
        </w:tc>
        <w:tc>
          <w:tcPr>
            <w:tcW w:type="dxa" w:w="4160"/>
          </w:tcPr>
          <w:p>
            <w:r>
              <w:t xml:space="preserve">Real audit run in BOTH regions + real DB read on BOTH DBs + rendered screen</w:t>
            </w:r>
          </w:p>
        </w:tc>
        <w:tc>
          <w:tcPr>
            <w:tcW w:type="dxa" w:w="3000"/>
          </w:tcPr>
          <w:p>
            <w:r>
              <w:t xml:space="preserve">The standing methodology. Nothing ships on green tests alone.</w:t>
            </w:r>
          </w:p>
        </w:tc>
      </w:tr>
    </w:tbl>
    <w:p>
      <w:pPr>
        <w:spacing w:after="120"/>
      </w:pPr>
      <w:r>
        <w:t xml:space="preserve"> </w:t>
      </w:r>
    </w:p>
    <w:p>
      <w:pPr>
        <w:pStyle w:val="Heading1"/>
        <w:spacing w:after="160" w:before="320"/>
      </w:pPr>
      <w:r>
        <w:t xml:space="preserve">3. Presence Lenses — The Wave-3 Pattern (freeze, then fan out)</w:t>
      </w:r>
    </w:p>
    <w:p>
      <w:pPr>
        <w:spacing w:after="120"/>
      </w:pPr>
      <w:r>
        <w:rPr>
          <w:b/>
          <w:bCs/>
        </w:rPr>
        <w:t xml:space="preserve">Verdict: this is where parallelism actually pays — but ONLY after a contract freeze. </w:t>
      </w:r>
      <w:r>
        <w:t xml:space="preserve">Lenses are plural by nature: multiple bounded analytical modules over a stable audit substrate. That is precisely the AURELIA Wave 3 shape (Analyst ∥ Planner ∥ Architect against a frozen AgentOutputBase).</w:t>
      </w:r>
    </w:p>
    <w:p>
      <w:pPr>
        <w:spacing w:after="120"/>
      </w:pPr>
      <w:r>
        <w:rPr>
          <w:b/>
          <w:bCs/>
        </w:rPr>
        <w:t xml:space="preserve">The sequence that makes it safe: </w:t>
      </w:r>
      <w:r>
        <w:t xml:space="preserve">(1) Build ONE lens end-to-end, sequentially, as the reference implementation. (2) Extract the Lens contract from it — input shape, output shape, registration, rendering, scoring. Freeze it, write it into the LLD (v2.5 with its 18 resolved conflicts is the right home). (3) THEN fan out: an agent team of 3, each teammate owning lenses/&lt;name&gt;/, worktree-isolated, module-scoped. Never spawn the team before step 2 — three lenses inventing three dialects of the same interface is the merge-hell case the docs warn about.</w:t>
      </w:r>
    </w:p>
    <w:p>
      <w:pPr>
        <w:spacing w:after="120"/>
      </w:pPr>
      <w:r>
        <w:rPr>
          <w:b/>
          <w:bCs/>
        </w:rPr>
        <w:t xml:space="preserve">Team shape: </w:t>
      </w:r>
      <w:r>
        <w:t xml:space="preserve">3 teammates (not 5 — "three focused teammates often outperform five scattered ones"), Sonnet teammates + Opus lead to control cost, plan-approval required with the criterion "reject any plan that modifies the shared schema", and one qa-verifier subagent per lens writing acceptance tests from the lens spec. Each lens gets its own worktree AND its own database (see §5).</w:t>
      </w:r>
    </w:p>
    <w:p>
      <w:pPr>
        <w:pStyle w:val="Heading1"/>
        <w:spacing w:after="160" w:before="320"/>
      </w:pPr>
      <w:r>
        <w:t xml:space="preserve">4. Control Plane — The KAIROS Case (overlap it)</w:t>
      </w:r>
    </w:p>
    <w:p>
      <w:pPr>
        <w:spacing w:after="120"/>
      </w:pPr>
      <w:r>
        <w:rPr>
          <w:b/>
          <w:bCs/>
        </w:rPr>
        <w:t xml:space="preserve">Verdict: it does not have to wait its turn. </w:t>
      </w:r>
      <w:r>
        <w:t xml:space="preserve">Control Plane is largely a separate surface consuming VisibleAU data rather than rewriting the core — structurally identical to KAIROS, which the AURELIA plan overlapped with Sprint 6 for the single biggest wall-clock gain in that project.</w:t>
      </w:r>
    </w:p>
    <w:p>
      <w:pPr>
        <w:spacing w:after="120"/>
      </w:pPr>
      <w:r>
        <w:rPr>
          <w:b/>
          <w:bCs/>
        </w:rPr>
        <w:t xml:space="preserve">The condition: </w:t>
      </w:r>
      <w:r>
        <w:t xml:space="preserve">once the Presence Lenses OUTPUT contract is stable (which happens at the §3 freeze, not at lens completion), Control Plane backend becomes an independent track that can run CONCURRENTLY with the lens fan-out. Treating the "→" in "Lenses → Control Plane" as strict sequence forfeits that overlap for free. The horizon feature stays a horizon feature — but it costs less wall-clock than the roadmap implies.</w:t>
      </w:r>
    </w:p>
    <w:p>
      <w:pPr>
        <w:pStyle w:val="Heading1"/>
        <w:spacing w:after="160" w:before="320"/>
      </w:pPr>
      <w:r>
        <w:t xml:space="preserve">5. Build This Capability NOW (the only unconditional section)</w:t>
      </w:r>
    </w:p>
    <w:p>
      <w:pPr>
        <w:spacing w:after="120"/>
      </w:pPr>
      <w:r>
        <w:t xml:space="preserve">Everything above is provisional. This is not. Each item pays off on the very next GTM-driven bug fix, and all of it is prerequisite for any parallel work later.</w:t>
      </w:r>
    </w:p>
    <w:p>
      <w:pPr>
        <w:pStyle w:val="ListParagraph"/>
        <w:numPr>
          <w:ilvl w:val="0"/>
          <w:numId w:val="2"/>
        </w:numPr>
        <w:spacing w:after="80"/>
      </w:pPr>
      <w:r>
        <w:rPr>
          <w:b/>
          <w:bCs/>
        </w:rPr>
        <w:t xml:space="preserve">Root CLAUDE.md with the VisibleAU invariants: </w:t>
      </w:r>
      <w:r>
        <w:t xml:space="preserve">subscriptions.tier is the sole tier source-of-truth (never organizations.tier); audits.status=complete / workflow_runs.status=completed; assertBrandAccess() on every brand-scoped route; dot-form events for consumers; migrations apply to BOTH visibleau and visibleau_prod; and the standing rule — greps and green tests are not evidence, the rendered screen and a real DB read are.</w:t>
      </w:r>
    </w:p>
    <w:p>
      <w:pPr>
        <w:pStyle w:val="ListParagraph"/>
        <w:numPr>
          <w:ilvl w:val="0"/>
          <w:numId w:val="2"/>
        </w:numPr>
        <w:spacing w:after="80"/>
      </w:pPr>
      <w:r>
        <w:rPr>
          <w:b/>
          <w:bCs/>
        </w:rPr>
        <w:t xml:space="preserve">qa-verifier subagent: </w:t>
      </w:r>
      <w:r>
        <w:t xml:space="preserve">writes acceptance tests from the spec text, forbidden from reading src/. This directly attacks your #1 recurring failure — S2 shipped 345 green tests over an unusable completion loop; S4 had 78 green tests hiding 11 bugs; S7 had 44 green hiding 7 findings.</w:t>
      </w:r>
    </w:p>
    <w:p>
      <w:pPr>
        <w:pStyle w:val="ListParagraph"/>
        <w:numPr>
          <w:ilvl w:val="0"/>
          <w:numId w:val="2"/>
        </w:numPr>
        <w:spacing w:after="80"/>
      </w:pPr>
      <w:r>
        <w:rPr>
          <w:b/>
          <w:bCs/>
        </w:rPr>
        <w:t xml:space="preserve">invariant-check subagent: </w:t>
      </w:r>
      <w:r>
        <w:t xml:space="preserve">runs last in every sprint, greps the canonical invariants. The nav-orphan recurred across S5, S6 AND S7 — automate the catch.</w:t>
      </w:r>
    </w:p>
    <w:p>
      <w:pPr>
        <w:pStyle w:val="ListParagraph"/>
        <w:numPr>
          <w:ilvl w:val="0"/>
          <w:numId w:val="2"/>
        </w:numPr>
        <w:spacing w:after="80"/>
      </w:pPr>
      <w:r>
        <w:rPr>
          <w:b/>
          <w:bCs/>
        </w:rPr>
        <w:t xml:space="preserve">Worktree hygiene: </w:t>
      </w:r>
      <w:r>
        <w:t xml:space="preserve">settings baseRef=head (or new worktrees silently miss your unpushed work), .worktreeinclude for .env/.env.test.local, .claude/worktrees/ in .gitignore.</w:t>
      </w:r>
    </w:p>
    <w:p>
      <w:pPr>
        <w:pStyle w:val="ListParagraph"/>
        <w:numPr>
          <w:ilvl w:val="0"/>
          <w:numId w:val="2"/>
        </w:numPr>
        <w:spacing w:after="80"/>
      </w:pPr>
      <w:r>
        <w:rPr>
          <w:b/>
          <w:bCs/>
        </w:rPr>
        <w:t xml:space="preserve">worktree-db.sh — the non-negotiable one: </w:t>
      </w:r>
      <w:r>
        <w:t xml:space="preserve">worktrees isolate FILES, not Postgres. Per-worktree database provisioning, or parallel tracks will recreate the dev/prod migration gap that has already cost you five outages.</w:t>
      </w:r>
    </w:p>
    <w:p>
      <w:pPr>
        <w:pStyle w:val="Heading1"/>
        <w:spacing w:after="160" w:before="320"/>
      </w:pPr>
      <w:r>
        <w:t xml:space="preserve">6. Honest Summary</w:t>
      </w:r>
    </w:p>
    <w:p>
      <w:pPr>
        <w:spacing w:after="120"/>
      </w:pPr>
      <w:r>
        <w:t xml:space="preserve">Multi-region: sequential, one writer per migration, subagent for tests only. Presence Lenses: one lens → freeze the contract → team of 3 in worktrees. Control Plane: overlap it with the lens fan-out once the output contract is frozen. Expected wall-clock gain across the three phases: meaningful but modest (~1.4-1.7x), because the first phase is a migration and migrations do not parallelise. The bigger lever by far is NOT building multi-region first. That is a GTM decision, not an engineering one — which is why this document waits.</w:t>
      </w:r>
    </w:p>
    <w:sectPr>
      <w:pgSz w:w="11906" w:h="16838"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VisibleAU Phase Execution Plan — PROVISIONAL, pending GTM signal — 2026-07-12</dc:title>
  <dc:creator>Un-named</dc:creator>
  <dc:description>Conditional plan: activate only after 3 paying AU agencies + a ranked feature list from real customers. Applies the AURELIA derivation (frozen contracts buy parallelism; gates cap it; review bandwidth is the ceiling). Multi-region = migration, stays sequential with one writer per migration. Presence Lenses = build one lens, freeze the Lens contract, THEN fan out to a 3-teammate worktree-isolated team. Control Plane = the KAIROS case, overlap it with lens fan-out once the output contract is frozen. Section 5 (CLAUDE.md, qa-verifier subagent, invariant-check subagent, worktree hygiene, per-worktree databases) is unconditional and should be built now.</dc:description>
  <cp:lastModifiedBy>Un-named</cp:lastModifiedBy>
  <cp:revision>1</cp:revision>
  <dcterms:created xsi:type="dcterms:W3CDTF">2026-07-12T02:57:53.264Z</dcterms:created>
  <dcterms:modified xsi:type="dcterms:W3CDTF">2026-07-12T02:57:53.264Z</dcterms:modified>
</cp:coreProperties>
</file>

<file path=docProps/custom.xml><?xml version="1.0" encoding="utf-8"?>
<Properties xmlns="http://schemas.openxmlformats.org/officeDocument/2006/custom-properties" xmlns:vt="http://schemas.openxmlformats.org/officeDocument/2006/docPropsVTypes"/>
</file>