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111B8" w14:textId="7A01DF48" w:rsidR="000C72CC" w:rsidRPr="000C72CC" w:rsidRDefault="000C72CC" w:rsidP="000C72CC">
      <w:r w:rsidRPr="000C72CC">
        <w:rPr>
          <w:b/>
          <w:bCs/>
        </w:rPr>
        <w:t>Monetize your loss-leaders via the Open-Source Funnel: Ship your @visibleau/wilson-ci-scorer and localized au-tradies-prompt-pack directly onto NPM and GitHub as MIT-licensed lead magnets. This positions your brand as a statistical authority from day one and drives low-cost conversion traffic directly into your premium, closed-source subscription ecosystem</w:t>
      </w:r>
    </w:p>
    <w:sectPr w:rsidR="000C72CC" w:rsidRPr="000C7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2CC"/>
    <w:rsid w:val="000C72CC"/>
    <w:rsid w:val="0093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7ACB9"/>
  <w15:chartTrackingRefBased/>
  <w15:docId w15:val="{7CAC8730-E419-4A75-8BB6-8D598AA09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Kommanapalli</dc:creator>
  <cp:keywords/>
  <dc:description/>
  <cp:lastModifiedBy>Srini Kommanapalli</cp:lastModifiedBy>
  <cp:revision>1</cp:revision>
  <dcterms:created xsi:type="dcterms:W3CDTF">2026-06-24T00:00:00Z</dcterms:created>
  <dcterms:modified xsi:type="dcterms:W3CDTF">2026-06-24T00:01:00Z</dcterms:modified>
</cp:coreProperties>
</file>