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0712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The Competitor Landscape (Where They Fall Short)</w:t>
      </w:r>
    </w:p>
    <w:p w14:paraId="0FE30001" w14:textId="77777777" w:rsidR="00357EFA" w:rsidRPr="00357EFA" w:rsidRDefault="00357EFA" w:rsidP="00357EFA">
      <w:r w:rsidRPr="00357EFA">
        <w:t xml:space="preserve">The current market is split into four distinct tiers, and each </w:t>
      </w:r>
      <w:proofErr w:type="gramStart"/>
      <w:r w:rsidRPr="00357EFA">
        <w:t>exhibits</w:t>
      </w:r>
      <w:proofErr w:type="gramEnd"/>
      <w:r w:rsidRPr="00357EFA">
        <w:t xml:space="preserve"> clear strategic gaps that </w:t>
      </w:r>
      <w:proofErr w:type="spellStart"/>
      <w:r w:rsidRPr="00357EFA">
        <w:t>VisibleAU</w:t>
      </w:r>
      <w:proofErr w:type="spellEnd"/>
      <w:r w:rsidRPr="00357EFA">
        <w:t xml:space="preserve"> explicitly capitalizes on:</w:t>
      </w:r>
    </w:p>
    <w:p w14:paraId="1283DE43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Tier 1: Premium Enterprise (</w:t>
      </w:r>
      <w:r w:rsidRPr="00357EFA">
        <w:rPr>
          <w:b/>
          <w:bCs/>
          <w:i/>
          <w:iCs/>
        </w:rPr>
        <w:t xml:space="preserve">Profound, Scrunch, </w:t>
      </w:r>
      <w:proofErr w:type="spellStart"/>
      <w:r w:rsidRPr="00357EFA">
        <w:rPr>
          <w:b/>
          <w:bCs/>
          <w:i/>
          <w:iCs/>
        </w:rPr>
        <w:t>AthenaHQ</w:t>
      </w:r>
      <w:proofErr w:type="spellEnd"/>
      <w:r w:rsidRPr="00357EFA">
        <w:rPr>
          <w:b/>
          <w:bCs/>
          <w:i/>
          <w:iCs/>
        </w:rPr>
        <w:t xml:space="preserve">, </w:t>
      </w:r>
      <w:proofErr w:type="spellStart"/>
      <w:r w:rsidRPr="00357EFA">
        <w:rPr>
          <w:b/>
          <w:bCs/>
          <w:i/>
          <w:iCs/>
        </w:rPr>
        <w:t>xSeek</w:t>
      </w:r>
      <w:proofErr w:type="spellEnd"/>
      <w:r w:rsidRPr="00357EFA">
        <w:rPr>
          <w:b/>
          <w:bCs/>
        </w:rPr>
        <w:t xml:space="preserve">) </w:t>
      </w:r>
    </w:p>
    <w:p w14:paraId="67F27725" w14:textId="77777777" w:rsidR="00357EFA" w:rsidRPr="00357EFA" w:rsidRDefault="00357EFA" w:rsidP="00357EFA">
      <w:pPr>
        <w:numPr>
          <w:ilvl w:val="0"/>
          <w:numId w:val="1"/>
        </w:numPr>
      </w:pPr>
      <w:r w:rsidRPr="00357EFA">
        <w:rPr>
          <w:b/>
          <w:bCs/>
        </w:rPr>
        <w:t>The Players:</w:t>
      </w:r>
      <w:r w:rsidRPr="00357EFA">
        <w:t xml:space="preserve"> </w:t>
      </w:r>
      <w:r w:rsidRPr="00357EFA">
        <w:rPr>
          <w:b/>
          <w:bCs/>
        </w:rPr>
        <w:t>Profound</w:t>
      </w:r>
      <w:r w:rsidRPr="00357EFA">
        <w:t xml:space="preserve"> leads corporate brand monitoring with its "Conversation Explorer"; </w:t>
      </w:r>
      <w:r w:rsidRPr="00357EFA">
        <w:rPr>
          <w:b/>
          <w:bCs/>
        </w:rPr>
        <w:t>Scrunch</w:t>
      </w:r>
      <w:r w:rsidRPr="00357EFA">
        <w:t xml:space="preserve"> (recently acquired by Sitecore in June 2026) specializes in enterprise content delivery and bot monitoring; </w:t>
      </w:r>
      <w:proofErr w:type="spellStart"/>
      <w:r w:rsidRPr="00357EFA">
        <w:rPr>
          <w:b/>
          <w:bCs/>
        </w:rPr>
        <w:t>xSeek</w:t>
      </w:r>
      <w:proofErr w:type="spellEnd"/>
      <w:r w:rsidRPr="00357EFA">
        <w:t xml:space="preserve"> functions as a high-ticket, hybrid software-and-agency model. </w:t>
      </w:r>
    </w:p>
    <w:p w14:paraId="5BD1B93B" w14:textId="77777777" w:rsidR="00357EFA" w:rsidRPr="00357EFA" w:rsidRDefault="00357EFA" w:rsidP="00357EFA">
      <w:pPr>
        <w:numPr>
          <w:ilvl w:val="0"/>
          <w:numId w:val="1"/>
        </w:numPr>
      </w:pPr>
      <w:r w:rsidRPr="00357EFA">
        <w:rPr>
          <w:b/>
          <w:bCs/>
        </w:rPr>
        <w:t>Their Gaps:</w:t>
      </w:r>
      <w:r w:rsidRPr="00357EFA">
        <w:t xml:space="preserve"> These platforms are explicitly built for Fortune 500 companies. They demand high-ticket credit pricing, require complex procurement processes, and are notorious for </w:t>
      </w:r>
      <w:r w:rsidRPr="00357EFA">
        <w:rPr>
          <w:b/>
          <w:bCs/>
        </w:rPr>
        <w:t>steep learning curves and multi-month onboarding times</w:t>
      </w:r>
      <w:r w:rsidRPr="00357EFA">
        <w:t xml:space="preserve">. Furthermore, their keyword databases are overwhelmingly weighted toward US-centric data. </w:t>
      </w:r>
    </w:p>
    <w:p w14:paraId="17BBF0C4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Tier 2: Mid-Market Purpose-Built (</w:t>
      </w:r>
      <w:r w:rsidRPr="00357EFA">
        <w:rPr>
          <w:b/>
          <w:bCs/>
          <w:i/>
          <w:iCs/>
        </w:rPr>
        <w:t xml:space="preserve">LLM Pulse, </w:t>
      </w:r>
      <w:proofErr w:type="spellStart"/>
      <w:r w:rsidRPr="00357EFA">
        <w:rPr>
          <w:b/>
          <w:bCs/>
          <w:i/>
          <w:iCs/>
        </w:rPr>
        <w:t>Peec</w:t>
      </w:r>
      <w:proofErr w:type="spellEnd"/>
      <w:r w:rsidRPr="00357EFA">
        <w:rPr>
          <w:b/>
          <w:bCs/>
          <w:i/>
          <w:iCs/>
        </w:rPr>
        <w:t xml:space="preserve"> AI, Omnia</w:t>
      </w:r>
      <w:r w:rsidRPr="00357EFA">
        <w:rPr>
          <w:b/>
          <w:bCs/>
        </w:rPr>
        <w:t xml:space="preserve">) </w:t>
      </w:r>
    </w:p>
    <w:p w14:paraId="20104B00" w14:textId="77777777" w:rsidR="00357EFA" w:rsidRPr="00357EFA" w:rsidRDefault="00357EFA" w:rsidP="00357EFA">
      <w:pPr>
        <w:numPr>
          <w:ilvl w:val="0"/>
          <w:numId w:val="2"/>
        </w:numPr>
      </w:pPr>
      <w:r w:rsidRPr="00357EFA">
        <w:rPr>
          <w:b/>
          <w:bCs/>
        </w:rPr>
        <w:t>The Players:</w:t>
      </w:r>
      <w:r w:rsidRPr="00357EFA">
        <w:t xml:space="preserve"> </w:t>
      </w:r>
      <w:r w:rsidRPr="00357EFA">
        <w:rPr>
          <w:b/>
          <w:bCs/>
        </w:rPr>
        <w:t>LLM Pulse</w:t>
      </w:r>
      <w:r w:rsidRPr="00357EFA">
        <w:t xml:space="preserve"> is highly regarded for baseline multi-engine tracking across the 5 core AI surfaces; </w:t>
      </w:r>
      <w:proofErr w:type="spellStart"/>
      <w:r w:rsidRPr="00357EFA">
        <w:rPr>
          <w:b/>
          <w:bCs/>
        </w:rPr>
        <w:t>Peec</w:t>
      </w:r>
      <w:proofErr w:type="spellEnd"/>
      <w:r w:rsidRPr="00357EFA">
        <w:rPr>
          <w:b/>
          <w:bCs/>
        </w:rPr>
        <w:t xml:space="preserve"> AI</w:t>
      </w:r>
      <w:r w:rsidRPr="00357EFA">
        <w:t xml:space="preserve"> specializes in multi-market analytics and sentiment tracking; </w:t>
      </w:r>
      <w:r w:rsidRPr="00357EFA">
        <w:rPr>
          <w:b/>
          <w:bCs/>
        </w:rPr>
        <w:t>Omnia</w:t>
      </w:r>
      <w:r w:rsidRPr="00357EFA">
        <w:t xml:space="preserve"> targets lean scale-ups. </w:t>
      </w:r>
    </w:p>
    <w:p w14:paraId="2C19F087" w14:textId="77777777" w:rsidR="00357EFA" w:rsidRPr="00357EFA" w:rsidRDefault="00357EFA" w:rsidP="00357EFA">
      <w:pPr>
        <w:numPr>
          <w:ilvl w:val="0"/>
          <w:numId w:val="2"/>
        </w:numPr>
      </w:pPr>
      <w:r w:rsidRPr="00357EFA">
        <w:rPr>
          <w:b/>
          <w:bCs/>
        </w:rPr>
        <w:t>Their Gaps:</w:t>
      </w:r>
      <w:r w:rsidRPr="00357EFA">
        <w:t xml:space="preserve"> While strong on data tracking, these platforms are predominantly </w:t>
      </w:r>
      <w:r w:rsidRPr="00357EFA">
        <w:rPr>
          <w:b/>
          <w:bCs/>
        </w:rPr>
        <w:t>monitoring-only dashboards</w:t>
      </w:r>
      <w:r w:rsidRPr="00357EFA">
        <w:t xml:space="preserve">. They excel at telling a client that their AI visibility dropped, but they fail to provide an integrated, structured execution loop to actually fix the problem. </w:t>
      </w:r>
    </w:p>
    <w:p w14:paraId="7A2D475A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Tier 3: Legacy SEO Adaptations (</w:t>
      </w:r>
      <w:proofErr w:type="spellStart"/>
      <w:r w:rsidRPr="00357EFA">
        <w:rPr>
          <w:b/>
          <w:bCs/>
          <w:i/>
          <w:iCs/>
        </w:rPr>
        <w:t>Semrush</w:t>
      </w:r>
      <w:proofErr w:type="spellEnd"/>
      <w:r w:rsidRPr="00357EFA">
        <w:rPr>
          <w:b/>
          <w:bCs/>
          <w:i/>
          <w:iCs/>
        </w:rPr>
        <w:t xml:space="preserve"> AI Toolkit, </w:t>
      </w:r>
      <w:proofErr w:type="spellStart"/>
      <w:r w:rsidRPr="00357EFA">
        <w:rPr>
          <w:b/>
          <w:bCs/>
          <w:i/>
          <w:iCs/>
        </w:rPr>
        <w:t>Ahrefs</w:t>
      </w:r>
      <w:proofErr w:type="spellEnd"/>
      <w:r w:rsidRPr="00357EFA">
        <w:rPr>
          <w:b/>
          <w:bCs/>
          <w:i/>
          <w:iCs/>
        </w:rPr>
        <w:t xml:space="preserve"> Brand Radar</w:t>
      </w:r>
      <w:r w:rsidRPr="00357EFA">
        <w:rPr>
          <w:b/>
          <w:bCs/>
        </w:rPr>
        <w:t>)</w:t>
      </w:r>
    </w:p>
    <w:p w14:paraId="36173F82" w14:textId="77777777" w:rsidR="00357EFA" w:rsidRPr="00357EFA" w:rsidRDefault="00357EFA" w:rsidP="00357EFA">
      <w:pPr>
        <w:numPr>
          <w:ilvl w:val="0"/>
          <w:numId w:val="3"/>
        </w:numPr>
      </w:pPr>
      <w:r w:rsidRPr="00357EFA">
        <w:rPr>
          <w:b/>
          <w:bCs/>
        </w:rPr>
        <w:t>The Players:</w:t>
      </w:r>
      <w:r w:rsidRPr="00357EFA">
        <w:t xml:space="preserve"> Legacy SEO giants trying to defend their real estate against the 25% drop in traditional search volume. </w:t>
      </w:r>
    </w:p>
    <w:p w14:paraId="34EC22C9" w14:textId="77777777" w:rsidR="00357EFA" w:rsidRPr="00357EFA" w:rsidRDefault="00357EFA" w:rsidP="00357EFA">
      <w:pPr>
        <w:numPr>
          <w:ilvl w:val="0"/>
          <w:numId w:val="3"/>
        </w:numPr>
      </w:pPr>
      <w:r w:rsidRPr="00357EFA">
        <w:rPr>
          <w:b/>
          <w:bCs/>
        </w:rPr>
        <w:t>Their Gaps:</w:t>
      </w:r>
      <w:r w:rsidRPr="00357EFA">
        <w:t xml:space="preserve"> These tools treat AEO strictly as a </w:t>
      </w:r>
      <w:r w:rsidRPr="00357EFA">
        <w:rPr>
          <w:b/>
          <w:bCs/>
        </w:rPr>
        <w:t>loss-leader add-on</w:t>
      </w:r>
      <w:r w:rsidRPr="00357EFA">
        <w:t xml:space="preserve">. For example, the </w:t>
      </w:r>
      <w:proofErr w:type="spellStart"/>
      <w:r w:rsidRPr="00357EFA">
        <w:t>Semrush</w:t>
      </w:r>
      <w:proofErr w:type="spellEnd"/>
      <w:r w:rsidRPr="00357EFA">
        <w:t xml:space="preserve"> AI Toolkit charges $99/</w:t>
      </w:r>
      <w:proofErr w:type="spellStart"/>
      <w:r w:rsidRPr="00357EFA">
        <w:t>mo</w:t>
      </w:r>
      <w:proofErr w:type="spellEnd"/>
      <w:r w:rsidRPr="00357EFA">
        <w:t xml:space="preserve"> </w:t>
      </w:r>
      <w:r w:rsidRPr="00357EFA">
        <w:rPr>
          <w:i/>
          <w:iCs/>
        </w:rPr>
        <w:t>per domain per user</w:t>
      </w:r>
      <w:r w:rsidRPr="00357EFA">
        <w:t xml:space="preserve"> on top of their mandatory base subscription. Because they rely on traditional keyword infrastructures, their suggestions consist of generic "E-E-A-T best practices" rather than model-aware remediation. </w:t>
      </w:r>
    </w:p>
    <w:p w14:paraId="61FF5A93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 xml:space="preserve">2. </w:t>
      </w:r>
      <w:proofErr w:type="spellStart"/>
      <w:r w:rsidRPr="00357EFA">
        <w:rPr>
          <w:b/>
          <w:bCs/>
        </w:rPr>
        <w:t>VisibleAU’s</w:t>
      </w:r>
      <w:proofErr w:type="spellEnd"/>
      <w:r w:rsidRPr="00357EFA">
        <w:rPr>
          <w:b/>
          <w:bCs/>
        </w:rPr>
        <w:t xml:space="preserve"> Unfair Strategic Moats</w:t>
      </w:r>
    </w:p>
    <w:p w14:paraId="1C42A647" w14:textId="77777777" w:rsidR="00357EFA" w:rsidRPr="00357EFA" w:rsidRDefault="00357EFA" w:rsidP="00357EFA">
      <w:proofErr w:type="spellStart"/>
      <w:r w:rsidRPr="00357EFA">
        <w:t>VisibleAU</w:t>
      </w:r>
      <w:proofErr w:type="spellEnd"/>
      <w:r w:rsidRPr="00357EFA">
        <w:t xml:space="preserve"> bypasses the "dashboard fatigue" of 2026 by executing three highly defensible, structurally unique angles: </w:t>
      </w:r>
    </w:p>
    <w:p w14:paraId="43F1A259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Moat 1: The Explainability Contract (Combating "Snake Oil")</w:t>
      </w:r>
    </w:p>
    <w:p w14:paraId="27EDFEC9" w14:textId="77777777" w:rsidR="00357EFA" w:rsidRPr="00357EFA" w:rsidRDefault="00357EFA" w:rsidP="00357EFA">
      <w:r w:rsidRPr="00357EFA">
        <w:lastRenderedPageBreak/>
        <w:t xml:space="preserve">While competitors offer generic scores, </w:t>
      </w:r>
      <w:proofErr w:type="spellStart"/>
      <w:r w:rsidRPr="00357EFA">
        <w:t>VisibleAU’s</w:t>
      </w:r>
      <w:proofErr w:type="spellEnd"/>
      <w:r w:rsidRPr="00357EFA">
        <w:t xml:space="preserve"> </w:t>
      </w:r>
      <w:r w:rsidRPr="00357EFA">
        <w:rPr>
          <w:b/>
          <w:bCs/>
        </w:rPr>
        <w:t>Explainability Contract</w:t>
      </w:r>
      <w:r w:rsidRPr="00357EFA">
        <w:t xml:space="preserve"> is a massive differentiator. By explicitly stating </w:t>
      </w:r>
      <w:r w:rsidRPr="00357EFA">
        <w:rPr>
          <w:i/>
          <w:iCs/>
        </w:rPr>
        <w:t xml:space="preserve">Where, </w:t>
      </w:r>
      <w:proofErr w:type="gramStart"/>
      <w:r w:rsidRPr="00357EFA">
        <w:rPr>
          <w:i/>
          <w:iCs/>
        </w:rPr>
        <w:t>Why</w:t>
      </w:r>
      <w:proofErr w:type="gramEnd"/>
      <w:r w:rsidRPr="00357EFA">
        <w:rPr>
          <w:i/>
          <w:iCs/>
        </w:rPr>
        <w:t xml:space="preserve">, </w:t>
      </w:r>
      <w:proofErr w:type="gramStart"/>
      <w:r w:rsidRPr="00357EFA">
        <w:rPr>
          <w:i/>
          <w:iCs/>
        </w:rPr>
        <w:t>What</w:t>
      </w:r>
      <w:proofErr w:type="gramEnd"/>
      <w:r w:rsidRPr="00357EFA">
        <w:rPr>
          <w:i/>
          <w:iCs/>
        </w:rPr>
        <w:t>, Expected Impact,</w:t>
      </w:r>
      <w:r w:rsidRPr="00357EFA">
        <w:t xml:space="preserve"> and a </w:t>
      </w:r>
      <w:r w:rsidRPr="00357EFA">
        <w:rPr>
          <w:i/>
          <w:iCs/>
        </w:rPr>
        <w:t>Confidence Label</w:t>
      </w:r>
      <w:r w:rsidRPr="00357EFA">
        <w:t xml:space="preserve"> (Confirmed, Likely, Hypothesis) backed by peer-reviewed research for </w:t>
      </w:r>
      <w:r w:rsidRPr="00357EFA">
        <w:rPr>
          <w:i/>
          <w:iCs/>
        </w:rPr>
        <w:t>every</w:t>
      </w:r>
      <w:r w:rsidRPr="00357EFA">
        <w:t xml:space="preserve"> recommendation, it builds elite client trust. Filtering out pseudo-tactics like "AI meta tags" positions </w:t>
      </w:r>
      <w:proofErr w:type="spellStart"/>
      <w:r w:rsidRPr="00357EFA">
        <w:t>VisibleAU</w:t>
      </w:r>
      <w:proofErr w:type="spellEnd"/>
      <w:r w:rsidRPr="00357EFA">
        <w:t xml:space="preserve"> as the honest, technically superior choice in the market. </w:t>
      </w:r>
    </w:p>
    <w:p w14:paraId="70541F50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Moat 2: Hyper-Local Signal Integration (The Local Service Monopoly)</w:t>
      </w:r>
    </w:p>
    <w:p w14:paraId="6642260A" w14:textId="77777777" w:rsidR="00357EFA" w:rsidRPr="00357EFA" w:rsidRDefault="00357EFA" w:rsidP="00357EFA">
      <w:r w:rsidRPr="00357EFA">
        <w:t xml:space="preserve">Global tools track at the country level. They completely fail to understand that AI search engines anchor local queries ("best emergency electrician near Parramatta") to real-world business footprints. By natively combining </w:t>
      </w:r>
      <w:r w:rsidRPr="00357EFA">
        <w:rPr>
          <w:b/>
          <w:bCs/>
        </w:rPr>
        <w:t>suburb-level prompt tracking</w:t>
      </w:r>
      <w:r w:rsidRPr="00357EFA">
        <w:t xml:space="preserve"> with live integrations for localized entities—</w:t>
      </w:r>
      <w:r w:rsidRPr="00357EFA">
        <w:rPr>
          <w:b/>
          <w:bCs/>
        </w:rPr>
        <w:t>ABN Lookups, Wikipedia AU, and the 4 canonical AU directories</w:t>
      </w:r>
      <w:r w:rsidRPr="00357EFA">
        <w:t xml:space="preserve"> (</w:t>
      </w:r>
      <w:proofErr w:type="spellStart"/>
      <w:r w:rsidRPr="00357EFA">
        <w:t>Hipages</w:t>
      </w:r>
      <w:proofErr w:type="spellEnd"/>
      <w:r w:rsidRPr="00357EFA">
        <w:t xml:space="preserve">, Yellow Pages AU, </w:t>
      </w:r>
      <w:proofErr w:type="spellStart"/>
      <w:r w:rsidRPr="00357EFA">
        <w:t>ServiceSeeking</w:t>
      </w:r>
      <w:proofErr w:type="spellEnd"/>
      <w:r w:rsidRPr="00357EFA">
        <w:t>, Word of Mouth)—</w:t>
      </w:r>
      <w:proofErr w:type="spellStart"/>
      <w:r w:rsidRPr="00357EFA">
        <w:t>VisibleAU</w:t>
      </w:r>
      <w:proofErr w:type="spellEnd"/>
      <w:r w:rsidRPr="00357EFA">
        <w:t xml:space="preserve"> builds a localized competitive moat that foreign software cannot easily replicate. </w:t>
      </w:r>
    </w:p>
    <w:p w14:paraId="12BA2FB8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Moat 3: Statistical Rigour vs. Snapshot Noise</w:t>
      </w:r>
    </w:p>
    <w:p w14:paraId="0BC55068" w14:textId="77777777" w:rsidR="00357EFA" w:rsidRPr="00357EFA" w:rsidRDefault="00357EFA" w:rsidP="00357EFA">
      <w:r w:rsidRPr="00357EFA">
        <w:t xml:space="preserve">AI search is probabilistic and non-deterministic. Competitors routinely query an engine once, capture a single snapshot, and call it a day. </w:t>
      </w:r>
      <w:proofErr w:type="spellStart"/>
      <w:r w:rsidRPr="00357EFA">
        <w:t>VisibleAU’s</w:t>
      </w:r>
      <w:proofErr w:type="spellEnd"/>
      <w:r w:rsidRPr="00357EFA">
        <w:t xml:space="preserve"> architecture relies on </w:t>
      </w:r>
      <w:r w:rsidRPr="00357EFA">
        <w:rPr>
          <w:b/>
          <w:bCs/>
        </w:rPr>
        <w:t>10 prompts × 4 engines × 5 repeated runs = 200 LLM calls per core audit</w:t>
      </w:r>
      <w:r w:rsidRPr="00357EFA">
        <w:t xml:space="preserve">, </w:t>
      </w:r>
      <w:proofErr w:type="spellStart"/>
      <w:r w:rsidRPr="00357EFA">
        <w:t>analyzing</w:t>
      </w:r>
      <w:proofErr w:type="spellEnd"/>
      <w:r w:rsidRPr="00357EFA">
        <w:t xml:space="preserve"> true mathematical variance using a </w:t>
      </w:r>
      <w:r w:rsidRPr="00357EFA">
        <w:rPr>
          <w:b/>
          <w:bCs/>
        </w:rPr>
        <w:t>Wilson 95% Confidence Interval Scorer</w:t>
      </w:r>
      <w:r w:rsidRPr="00357EFA">
        <w:t xml:space="preserve">. This means an agency can confidently report whether a client's visibility is stable or highly volatile. </w:t>
      </w:r>
    </w:p>
    <w:p w14:paraId="2BAA5FDA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3. Financial &amp; Operational Viability</w:t>
      </w:r>
    </w:p>
    <w:p w14:paraId="422BFF45" w14:textId="77777777" w:rsidR="00357EFA" w:rsidRPr="00357EFA" w:rsidRDefault="00357EFA" w:rsidP="00357EFA">
      <w:r w:rsidRPr="00357EFA">
        <w:t xml:space="preserve">The project's architectural decisions align perfectly with hyper-efficient SaaS economics: </w:t>
      </w:r>
    </w:p>
    <w:p w14:paraId="2CECC213" w14:textId="77777777" w:rsidR="00357EFA" w:rsidRPr="00357EFA" w:rsidRDefault="00357EFA" w:rsidP="00357EFA">
      <w:r w:rsidRPr="00357EFA">
        <w:t xml:space="preserve">            VISIBLEAU HIGH-MARGIN OPERATIONS (YEAR 1)</w:t>
      </w:r>
    </w:p>
    <w:p w14:paraId="11DE1BBC" w14:textId="77777777" w:rsidR="00357EFA" w:rsidRPr="00357EFA" w:rsidRDefault="00357EFA" w:rsidP="00357EFA">
      <w:r w:rsidRPr="00357EFA">
        <w:t xml:space="preserve">            </w:t>
      </w:r>
    </w:p>
    <w:p w14:paraId="10DAC40E" w14:textId="77777777" w:rsidR="00357EFA" w:rsidRPr="00357EFA" w:rsidRDefault="00357EFA" w:rsidP="00357EFA">
      <w:r w:rsidRPr="00357EFA">
        <w:t xml:space="preserve">  [ SUBSCRIPTION </w:t>
      </w:r>
      <w:proofErr w:type="gramStart"/>
      <w:r w:rsidRPr="00357EFA">
        <w:t>REVENUE ]</w:t>
      </w:r>
      <w:proofErr w:type="gramEnd"/>
      <w:r w:rsidRPr="00357EFA">
        <w:t xml:space="preserve"> ─────────────────────────┐</w:t>
      </w:r>
    </w:p>
    <w:p w14:paraId="33A00EE0" w14:textId="77777777" w:rsidR="00357EFA" w:rsidRPr="00357EFA" w:rsidRDefault="00357EFA" w:rsidP="00357EFA">
      <w:r w:rsidRPr="00357EFA">
        <w:t xml:space="preserve">    • Starter Plan:  A$99/</w:t>
      </w:r>
      <w:proofErr w:type="spellStart"/>
      <w:r w:rsidRPr="00357EFA">
        <w:t>mo</w:t>
      </w:r>
      <w:proofErr w:type="spellEnd"/>
      <w:r w:rsidRPr="00357EFA">
        <w:t xml:space="preserve">                        │</w:t>
      </w:r>
    </w:p>
    <w:p w14:paraId="1E676D49" w14:textId="77777777" w:rsidR="00357EFA" w:rsidRPr="00357EFA" w:rsidRDefault="00357EFA" w:rsidP="00357EFA">
      <w:r w:rsidRPr="00357EFA">
        <w:t xml:space="preserve">    • Agency Pro:    A$1,499/</w:t>
      </w:r>
      <w:proofErr w:type="spellStart"/>
      <w:r w:rsidRPr="00357EFA">
        <w:t>mo</w:t>
      </w:r>
      <w:proofErr w:type="spellEnd"/>
      <w:r w:rsidRPr="00357EFA">
        <w:t xml:space="preserve">                     </w:t>
      </w:r>
      <w:r w:rsidRPr="00357EFA">
        <w:rPr>
          <w:rFonts w:ascii="Arial" w:hAnsi="Arial" w:cs="Arial"/>
        </w:rPr>
        <w:t>▼</w:t>
      </w:r>
    </w:p>
    <w:p w14:paraId="00D84F0F" w14:textId="77777777" w:rsidR="00357EFA" w:rsidRPr="00357EFA" w:rsidRDefault="00357EFA" w:rsidP="00357EFA">
      <w:r w:rsidRPr="00357EFA">
        <w:t xml:space="preserve">                                            ┌───────────────┐</w:t>
      </w:r>
    </w:p>
    <w:p w14:paraId="055D9525" w14:textId="77777777" w:rsidR="00357EFA" w:rsidRPr="00357EFA" w:rsidRDefault="00357EFA" w:rsidP="00357EFA">
      <w:r w:rsidRPr="00357EFA">
        <w:t xml:space="preserve">  [ OPERATIONAL COST </w:t>
      </w:r>
      <w:proofErr w:type="gramStart"/>
      <w:r w:rsidRPr="00357EFA">
        <w:t>RAIL ]</w:t>
      </w:r>
      <w:proofErr w:type="gramEnd"/>
      <w:r w:rsidRPr="00357EFA">
        <w:t xml:space="preserve"> ────────────────</w:t>
      </w:r>
      <w:r w:rsidRPr="00357EFA">
        <w:rPr>
          <w:rFonts w:ascii="MS Gothic" w:eastAsia="MS Gothic" w:hAnsi="MS Gothic" w:cs="MS Gothic" w:hint="eastAsia"/>
        </w:rPr>
        <w:t>┤</w:t>
      </w:r>
      <w:r w:rsidRPr="00357EFA">
        <w:t xml:space="preserve"> GROSS </w:t>
      </w:r>
      <w:proofErr w:type="gramStart"/>
      <w:r w:rsidRPr="00357EFA">
        <w:t xml:space="preserve">MARGIN  </w:t>
      </w:r>
      <w:r w:rsidRPr="00357EFA">
        <w:rPr>
          <w:rFonts w:ascii="Aptos" w:hAnsi="Aptos" w:cs="Aptos"/>
        </w:rPr>
        <w:t>│</w:t>
      </w:r>
      <w:proofErr w:type="gramEnd"/>
    </w:p>
    <w:p w14:paraId="722F63BD" w14:textId="77777777" w:rsidR="00357EFA" w:rsidRPr="00357EFA" w:rsidRDefault="00357EFA" w:rsidP="00357EFA">
      <w:r w:rsidRPr="00357EFA">
        <w:t xml:space="preserve">    • Dynamic Response Caching (24-72</w:t>
      </w:r>
      <w:proofErr w:type="gramStart"/>
      <w:r w:rsidRPr="00357EFA">
        <w:t xml:space="preserve">h)   </w:t>
      </w:r>
      <w:proofErr w:type="gramEnd"/>
      <w:r w:rsidRPr="00357EFA">
        <w:t xml:space="preserve">  </w:t>
      </w:r>
      <w:proofErr w:type="gramStart"/>
      <w:r w:rsidRPr="00357EFA">
        <w:t>│  85</w:t>
      </w:r>
      <w:proofErr w:type="gramEnd"/>
      <w:r w:rsidRPr="00357EFA">
        <w:t>% – 92%    │</w:t>
      </w:r>
    </w:p>
    <w:p w14:paraId="1F1230F2" w14:textId="77777777" w:rsidR="00357EFA" w:rsidRPr="00357EFA" w:rsidRDefault="00357EFA" w:rsidP="00357EFA">
      <w:r w:rsidRPr="00357EFA">
        <w:t xml:space="preserve">    • Tier-Aware Provider Model Selector    └───────────────┘</w:t>
      </w:r>
    </w:p>
    <w:p w14:paraId="17EC8211" w14:textId="77777777" w:rsidR="00357EFA" w:rsidRPr="00357EFA" w:rsidRDefault="00357EFA" w:rsidP="00357EFA">
      <w:r w:rsidRPr="00357EFA">
        <w:t xml:space="preserve">    • Core Audit Target: &lt; US$3.00          </w:t>
      </w:r>
    </w:p>
    <w:p w14:paraId="67468AF5" w14:textId="77777777" w:rsidR="00357EFA" w:rsidRPr="00357EFA" w:rsidRDefault="00357EFA" w:rsidP="00357EFA">
      <w:pPr>
        <w:numPr>
          <w:ilvl w:val="0"/>
          <w:numId w:val="4"/>
        </w:numPr>
      </w:pPr>
      <w:r w:rsidRPr="00357EFA">
        <w:rPr>
          <w:b/>
          <w:bCs/>
        </w:rPr>
        <w:lastRenderedPageBreak/>
        <w:t>Caching Moat:</w:t>
      </w:r>
      <w:r w:rsidRPr="00357EFA">
        <w:t xml:space="preserve"> By caching token queries for 24–72 hours across lookups, costs drop by up to 70% as the multi-tenant user pool scales. </w:t>
      </w:r>
    </w:p>
    <w:p w14:paraId="184DCF78" w14:textId="77777777" w:rsidR="00357EFA" w:rsidRPr="00357EFA" w:rsidRDefault="00357EFA" w:rsidP="00357EFA">
      <w:pPr>
        <w:numPr>
          <w:ilvl w:val="0"/>
          <w:numId w:val="4"/>
        </w:numPr>
      </w:pPr>
      <w:r w:rsidRPr="00357EFA">
        <w:rPr>
          <w:b/>
          <w:bCs/>
        </w:rPr>
        <w:t>Model Selector Isolation:</w:t>
      </w:r>
      <w:r w:rsidRPr="00357EFA">
        <w:t xml:space="preserve"> Free/Starter tiers route to lightning-fast, high-efficiency models (Gemini Flash, Claude Haiku), restricting top-tier frontier model deployment strictly to premium Agency Pro brackets. </w:t>
      </w:r>
    </w:p>
    <w:p w14:paraId="7C1CE8BC" w14:textId="77777777" w:rsidR="00357EFA" w:rsidRPr="00357EFA" w:rsidRDefault="00357EFA" w:rsidP="00357EFA">
      <w:pPr>
        <w:numPr>
          <w:ilvl w:val="0"/>
          <w:numId w:val="4"/>
        </w:numPr>
      </w:pPr>
      <w:r w:rsidRPr="00357EFA">
        <w:rPr>
          <w:b/>
          <w:bCs/>
        </w:rPr>
        <w:t>Flawless Agency Packaging:</w:t>
      </w:r>
      <w:r w:rsidRPr="00357EFA">
        <w:t xml:space="preserve"> The architecture is tailored perfectly to an agency’s operations—featuring zero-friction client onboarding (Domain → Vertical Pack → Go), automated white-label PDF generation, and multi-workspace tenancy </w:t>
      </w:r>
      <w:proofErr w:type="gramStart"/>
      <w:r w:rsidRPr="00357EFA">
        <w:t>structures[</w:t>
      </w:r>
      <w:proofErr w:type="gramEnd"/>
      <w:r w:rsidRPr="00357EFA">
        <w:t>cite: 1, 3].</w:t>
      </w:r>
    </w:p>
    <w:p w14:paraId="7C1972B3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4. Final Verdict &amp; Strategic Thoughts</w:t>
      </w:r>
    </w:p>
    <w:p w14:paraId="77522759" w14:textId="77777777" w:rsidR="00357EFA" w:rsidRPr="00357EFA" w:rsidRDefault="00357EFA" w:rsidP="00357EFA">
      <w:proofErr w:type="spellStart"/>
      <w:r w:rsidRPr="00357EFA">
        <w:t>VisibleAU</w:t>
      </w:r>
      <w:proofErr w:type="spellEnd"/>
      <w:r w:rsidRPr="00357EFA">
        <w:t xml:space="preserve"> does not feel like an SEO toolkit trying to retrofit its features for an AI world; it is built intentionally for the realities of the agentic web. </w:t>
      </w:r>
    </w:p>
    <w:p w14:paraId="25BC77F2" w14:textId="77777777" w:rsidR="00357EFA" w:rsidRPr="00357EFA" w:rsidRDefault="00357EFA" w:rsidP="00357EFA">
      <w:r w:rsidRPr="00357EFA">
        <w:t xml:space="preserve">Because you have </w:t>
      </w:r>
      <w:r w:rsidRPr="00357EFA">
        <w:rPr>
          <w:b/>
          <w:bCs/>
        </w:rPr>
        <w:t>fully completed and automated the end-to-end tests for all 10 sprints of Phase 1</w:t>
      </w:r>
      <w:r w:rsidRPr="00357EFA">
        <w:t>, your execution risk is incredibly low. You have bypassed the primary failure point of early-stage SaaS platforms: shipping un-tested, fragile background pipelines.</w:t>
      </w:r>
    </w:p>
    <w:p w14:paraId="4A524712" w14:textId="77777777" w:rsidR="00357EFA" w:rsidRPr="00357EFA" w:rsidRDefault="00357EFA" w:rsidP="00357EFA">
      <w:pPr>
        <w:rPr>
          <w:b/>
          <w:bCs/>
        </w:rPr>
      </w:pPr>
      <w:r w:rsidRPr="00357EFA">
        <w:rPr>
          <w:b/>
          <w:bCs/>
        </w:rPr>
        <w:t>The Immediate Action Playbook:</w:t>
      </w:r>
    </w:p>
    <w:p w14:paraId="517D544E" w14:textId="77777777" w:rsidR="00357EFA" w:rsidRPr="00357EFA" w:rsidRDefault="00357EFA" w:rsidP="00357EFA">
      <w:pPr>
        <w:numPr>
          <w:ilvl w:val="0"/>
          <w:numId w:val="5"/>
        </w:numPr>
      </w:pPr>
      <w:r w:rsidRPr="00357EFA">
        <w:rPr>
          <w:b/>
          <w:bCs/>
        </w:rPr>
        <w:t>Do not stay in an infinite audit loop:</w:t>
      </w:r>
      <w:r w:rsidRPr="00357EFA">
        <w:t xml:space="preserve"> Your technical specifications, multi-tenant RLS firewalls, and data-retention </w:t>
      </w:r>
      <w:proofErr w:type="spellStart"/>
      <w:r w:rsidRPr="00357EFA">
        <w:t>crons</w:t>
      </w:r>
      <w:proofErr w:type="spellEnd"/>
      <w:r w:rsidRPr="00357EFA">
        <w:t xml:space="preserve"> are completely hardened. </w:t>
      </w:r>
    </w:p>
    <w:p w14:paraId="50181B36" w14:textId="77777777" w:rsidR="00357EFA" w:rsidRPr="00357EFA" w:rsidRDefault="00357EFA" w:rsidP="00357EFA">
      <w:pPr>
        <w:numPr>
          <w:ilvl w:val="0"/>
          <w:numId w:val="5"/>
        </w:numPr>
      </w:pPr>
      <w:r w:rsidRPr="00357EFA">
        <w:rPr>
          <w:b/>
          <w:bCs/>
        </w:rPr>
        <w:t>Monetize your loss-leaders via the Open-Source Funnel:</w:t>
      </w:r>
      <w:r w:rsidRPr="00357EFA">
        <w:t xml:space="preserve"> Ship your @visibleau/wilson-ci-scorer and localized au-tradies-prompt-pack directly onto NPM and GitHub as MIT-licensed lead magnets. This positions your brand as a statistical authority from day one and drives low-cost conversion traffic directly into your premium, closed-source subscription ecosystem. </w:t>
      </w:r>
    </w:p>
    <w:p w14:paraId="47D8CF84" w14:textId="77777777" w:rsidR="00357EFA" w:rsidRPr="00357EFA" w:rsidRDefault="00357EFA" w:rsidP="00357EFA">
      <w:pPr>
        <w:numPr>
          <w:ilvl w:val="0"/>
          <w:numId w:val="5"/>
        </w:numPr>
      </w:pPr>
      <w:r w:rsidRPr="00357EFA">
        <w:rPr>
          <w:b/>
          <w:bCs/>
        </w:rPr>
        <w:t>Execute Phase 2, Sprint 1:</w:t>
      </w:r>
      <w:r w:rsidRPr="00357EFA">
        <w:t xml:space="preserve"> Hand your completed Markdown specification over to your local deployment agent and begin immediate construction of the Phase 2 foundational layers.</w:t>
      </w:r>
    </w:p>
    <w:p w14:paraId="1C2C43A8" w14:textId="77777777" w:rsidR="00357EFA" w:rsidRDefault="00357EFA"/>
    <w:sectPr w:rsidR="0035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6963"/>
    <w:multiLevelType w:val="multilevel"/>
    <w:tmpl w:val="7E1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07A07"/>
    <w:multiLevelType w:val="multilevel"/>
    <w:tmpl w:val="459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A1347"/>
    <w:multiLevelType w:val="multilevel"/>
    <w:tmpl w:val="8C3C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91B51"/>
    <w:multiLevelType w:val="multilevel"/>
    <w:tmpl w:val="700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34232"/>
    <w:multiLevelType w:val="multilevel"/>
    <w:tmpl w:val="7D4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466654">
    <w:abstractNumId w:val="4"/>
  </w:num>
  <w:num w:numId="2" w16cid:durableId="1384135163">
    <w:abstractNumId w:val="1"/>
  </w:num>
  <w:num w:numId="3" w16cid:durableId="1811441245">
    <w:abstractNumId w:val="0"/>
  </w:num>
  <w:num w:numId="4" w16cid:durableId="939067233">
    <w:abstractNumId w:val="3"/>
  </w:num>
  <w:num w:numId="5" w16cid:durableId="79483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FA"/>
    <w:rsid w:val="00357EFA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C403"/>
  <w15:chartTrackingRefBased/>
  <w15:docId w15:val="{0AB2EDA6-4A8F-4A48-9712-6F213CFC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2026-06-23T23:05:00Z</dcterms:created>
  <dcterms:modified xsi:type="dcterms:W3CDTF">2026-06-23T23:05:00Z</dcterms:modified>
</cp:coreProperties>
</file>