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35D0" w14:textId="77777777" w:rsidR="00321096" w:rsidRPr="00321096" w:rsidRDefault="00321096" w:rsidP="00321096">
      <w:pPr>
        <w:rPr>
          <w:b/>
          <w:bCs/>
        </w:rPr>
      </w:pPr>
      <w:r w:rsidRPr="00321096">
        <w:rPr>
          <w:b/>
          <w:bCs/>
        </w:rPr>
        <w:t>You Crush the Competitors on Speed-to-Value</w:t>
      </w:r>
    </w:p>
    <w:p w14:paraId="7EB034B7" w14:textId="77777777" w:rsidR="00321096" w:rsidRPr="00321096" w:rsidRDefault="00321096" w:rsidP="00321096">
      <w:r w:rsidRPr="00321096">
        <w:t xml:space="preserve">The 2026 AEO/GEO market is plagued by two extremes: over-simplistic, generic keyword add-ons, or bloated enterprise suites. </w:t>
      </w:r>
    </w:p>
    <w:p w14:paraId="48E34D9C" w14:textId="77777777" w:rsidR="00321096" w:rsidRPr="00321096" w:rsidRDefault="00321096" w:rsidP="00321096">
      <w:pPr>
        <w:numPr>
          <w:ilvl w:val="0"/>
          <w:numId w:val="1"/>
        </w:numPr>
      </w:pPr>
      <w:r w:rsidRPr="00321096">
        <w:rPr>
          <w:b/>
          <w:bCs/>
        </w:rPr>
        <w:t>The Competitor Flaw:</w:t>
      </w:r>
      <w:r w:rsidRPr="00321096">
        <w:t xml:space="preserve"> Enterprise giants like </w:t>
      </w:r>
      <w:r w:rsidRPr="00321096">
        <w:rPr>
          <w:i/>
          <w:iCs/>
        </w:rPr>
        <w:t>Profound</w:t>
      </w:r>
      <w:r w:rsidRPr="00321096">
        <w:t xml:space="preserve"> and </w:t>
      </w:r>
      <w:proofErr w:type="spellStart"/>
      <w:r w:rsidRPr="00321096">
        <w:rPr>
          <w:i/>
          <w:iCs/>
        </w:rPr>
        <w:t>AthenaHQ</w:t>
      </w:r>
      <w:proofErr w:type="spellEnd"/>
      <w:r w:rsidRPr="00321096">
        <w:t xml:space="preserve"> require high-touch sales cycles and notorious </w:t>
      </w:r>
      <w:r w:rsidRPr="00321096">
        <w:rPr>
          <w:b/>
          <w:bCs/>
        </w:rPr>
        <w:t>multi-month onboarding configurations</w:t>
      </w:r>
      <w:r w:rsidRPr="00321096">
        <w:t xml:space="preserve"> before an agency can even see stable data. </w:t>
      </w:r>
    </w:p>
    <w:p w14:paraId="532540B3" w14:textId="77777777" w:rsidR="00321096" w:rsidRPr="00321096" w:rsidRDefault="00321096" w:rsidP="00321096">
      <w:pPr>
        <w:numPr>
          <w:ilvl w:val="0"/>
          <w:numId w:val="1"/>
        </w:numPr>
      </w:pPr>
      <w:r w:rsidRPr="00321096">
        <w:rPr>
          <w:b/>
          <w:bCs/>
        </w:rPr>
        <w:t xml:space="preserve">The </w:t>
      </w:r>
      <w:proofErr w:type="spellStart"/>
      <w:r w:rsidRPr="00321096">
        <w:rPr>
          <w:b/>
          <w:bCs/>
        </w:rPr>
        <w:t>VisibleAU</w:t>
      </w:r>
      <w:proofErr w:type="spellEnd"/>
      <w:r w:rsidRPr="00321096">
        <w:rPr>
          <w:b/>
          <w:bCs/>
        </w:rPr>
        <w:t xml:space="preserve"> Advantage:</w:t>
      </w:r>
      <w:r w:rsidRPr="00321096">
        <w:t xml:space="preserve"> Because you designed your platform around </w:t>
      </w:r>
      <w:r w:rsidRPr="00321096">
        <w:rPr>
          <w:b/>
          <w:bCs/>
        </w:rPr>
        <w:t>pre-built, hand-tuned regional vertical packs (336 prompts across AU SaaS, Tradies, and Allied Health)</w:t>
      </w:r>
      <w:r w:rsidRPr="00321096">
        <w:t xml:space="preserve">, your onboarding friction is zero. An agency client can log in, drop a domain name, select their vertical, and generate a hyper-targeted, localized baseline in less than 5 minutes. Your discipline in pre-seeding this content turns onboarding into an instant hook. </w:t>
      </w:r>
    </w:p>
    <w:p w14:paraId="572FE380" w14:textId="77777777" w:rsidR="00321096" w:rsidRPr="00321096" w:rsidRDefault="00321096" w:rsidP="00321096">
      <w:pPr>
        <w:rPr>
          <w:b/>
          <w:bCs/>
        </w:rPr>
      </w:pPr>
      <w:r w:rsidRPr="00321096">
        <w:rPr>
          <w:b/>
          <w:bCs/>
        </w:rPr>
        <w:t>2. You Fix the Category's Universal Flaw: "Dashboard Fatigue"</w:t>
      </w:r>
    </w:p>
    <w:p w14:paraId="6337827C" w14:textId="77777777" w:rsidR="00321096" w:rsidRPr="00321096" w:rsidRDefault="00321096" w:rsidP="00321096">
      <w:r w:rsidRPr="00321096">
        <w:t xml:space="preserve">The single biggest complaint on G2 and Reddit regarding current GEO tools is: </w:t>
      </w:r>
      <w:r w:rsidRPr="00321096">
        <w:rPr>
          <w:i/>
          <w:iCs/>
        </w:rPr>
        <w:t>"I see the visibility graph, but I have no idea what to physically change on my website."</w:t>
      </w:r>
      <w:r w:rsidRPr="00321096">
        <w:t xml:space="preserve"> Competitors are built strictly to </w:t>
      </w:r>
      <w:r w:rsidRPr="00321096">
        <w:rPr>
          <w:i/>
          <w:iCs/>
        </w:rPr>
        <w:t>monitor</w:t>
      </w:r>
      <w:r w:rsidRPr="00321096">
        <w:t xml:space="preserve">. </w:t>
      </w:r>
    </w:p>
    <w:p w14:paraId="6395B8D8" w14:textId="77777777" w:rsidR="00321096" w:rsidRPr="00321096" w:rsidRDefault="00321096" w:rsidP="00321096">
      <w:pPr>
        <w:numPr>
          <w:ilvl w:val="0"/>
          <w:numId w:val="2"/>
        </w:numPr>
      </w:pPr>
      <w:r w:rsidRPr="00321096">
        <w:rPr>
          <w:b/>
          <w:bCs/>
        </w:rPr>
        <w:t>Your Advantage:</w:t>
      </w:r>
      <w:r w:rsidRPr="00321096">
        <w:t xml:space="preserve"> </w:t>
      </w:r>
      <w:proofErr w:type="spellStart"/>
      <w:r w:rsidRPr="00321096">
        <w:t>VisibleAU</w:t>
      </w:r>
      <w:proofErr w:type="spellEnd"/>
      <w:r w:rsidRPr="00321096">
        <w:t xml:space="preserve"> is built strictly to </w:t>
      </w:r>
      <w:r w:rsidRPr="00321096">
        <w:rPr>
          <w:b/>
          <w:bCs/>
        </w:rPr>
        <w:t>execute</w:t>
      </w:r>
      <w:r w:rsidRPr="00321096">
        <w:t xml:space="preserve">. By introducing Layer 5 (Workflow Intelligence) with automated, model-aware draft generation (listicles, comparison article templates, exact FAQ blocks), you completely close the loop. You aren't handing an agency owner a chart to show their client; you are handing them the exact, pre-written text fix they can copy-paste to win the citation position. </w:t>
      </w:r>
    </w:p>
    <w:p w14:paraId="01E12298" w14:textId="77777777" w:rsidR="00321096" w:rsidRPr="00321096" w:rsidRDefault="00321096" w:rsidP="00321096">
      <w:pPr>
        <w:rPr>
          <w:b/>
          <w:bCs/>
        </w:rPr>
      </w:pPr>
      <w:r w:rsidRPr="00321096">
        <w:rPr>
          <w:b/>
          <w:bCs/>
        </w:rPr>
        <w:t>3. Your Statistical Rigour Protects Agency Credibility</w:t>
      </w:r>
    </w:p>
    <w:p w14:paraId="34F8D8D1" w14:textId="77777777" w:rsidR="00321096" w:rsidRPr="00321096" w:rsidRDefault="00321096" w:rsidP="00321096">
      <w:r w:rsidRPr="00321096">
        <w:t xml:space="preserve">Generative search engines are probabilistic and non-deterministic. Models change </w:t>
      </w:r>
      <w:proofErr w:type="spellStart"/>
      <w:r w:rsidRPr="00321096">
        <w:t>behavior</w:t>
      </w:r>
      <w:proofErr w:type="spellEnd"/>
      <w:r w:rsidRPr="00321096">
        <w:t xml:space="preserve"> dynamically, and a single prompt run is statistically meaningless noise. </w:t>
      </w:r>
    </w:p>
    <w:p w14:paraId="49A29B3A" w14:textId="77777777" w:rsidR="00321096" w:rsidRPr="00321096" w:rsidRDefault="00321096" w:rsidP="00321096">
      <w:pPr>
        <w:numPr>
          <w:ilvl w:val="0"/>
          <w:numId w:val="3"/>
        </w:numPr>
      </w:pPr>
      <w:r w:rsidRPr="00321096">
        <w:rPr>
          <w:b/>
          <w:bCs/>
        </w:rPr>
        <w:t>The Competitor Flaw:</w:t>
      </w:r>
      <w:r w:rsidRPr="00321096">
        <w:t xml:space="preserve"> Most Tier 2 and Tier 4 tools run cheap, single-shot snapshots once a day or bi-weekly. They report shaky, volatile spikes as real data shifts, destroying agency credibility when the client runs the same prompt manually and sees a different result. </w:t>
      </w:r>
    </w:p>
    <w:p w14:paraId="7E29CD9E" w14:textId="77777777" w:rsidR="00321096" w:rsidRPr="00321096" w:rsidRDefault="00321096" w:rsidP="00321096">
      <w:pPr>
        <w:numPr>
          <w:ilvl w:val="0"/>
          <w:numId w:val="3"/>
        </w:numPr>
      </w:pPr>
      <w:r w:rsidRPr="00321096">
        <w:rPr>
          <w:b/>
          <w:bCs/>
        </w:rPr>
        <w:t>Your Advantage:</w:t>
      </w:r>
      <w:r w:rsidRPr="00321096">
        <w:t xml:space="preserve"> Your architecture forces </w:t>
      </w:r>
      <w:r w:rsidRPr="00321096">
        <w:rPr>
          <w:b/>
          <w:bCs/>
        </w:rPr>
        <w:t>10 prompts × 4 engines × 5 repeated runs = 200 LLM calls per core audit</w:t>
      </w:r>
      <w:r w:rsidRPr="00321096">
        <w:t xml:space="preserve">, calculating true mathematical variance using a custom </w:t>
      </w:r>
      <w:r w:rsidRPr="00321096">
        <w:rPr>
          <w:b/>
          <w:bCs/>
        </w:rPr>
        <w:t>Wilson 95% Confidence Interval Scorer</w:t>
      </w:r>
      <w:r w:rsidRPr="00321096">
        <w:t xml:space="preserve">. By showing confidence intervals and distinguishing high-bias from high-variance volatility, you give agencies a bulletproof, defensible data ledger they can stake their reputation on. </w:t>
      </w:r>
    </w:p>
    <w:p w14:paraId="24C22687" w14:textId="77777777" w:rsidR="00321096" w:rsidRPr="00321096" w:rsidRDefault="00321096" w:rsidP="00321096">
      <w:pPr>
        <w:rPr>
          <w:b/>
          <w:bCs/>
        </w:rPr>
      </w:pPr>
      <w:r w:rsidRPr="00321096">
        <w:rPr>
          <w:b/>
          <w:bCs/>
        </w:rPr>
        <w:t>4. You Natively Own the Localized AU Market Moat</w:t>
      </w:r>
    </w:p>
    <w:p w14:paraId="474CD3E5" w14:textId="77777777" w:rsidR="00321096" w:rsidRPr="00321096" w:rsidRDefault="00321096" w:rsidP="00321096">
      <w:r w:rsidRPr="00321096">
        <w:lastRenderedPageBreak/>
        <w:t xml:space="preserve">Global incumbents (mostly based in the US or Europe) treat geographic local optimization as an afterthought. They try to track visibility strictly at the country level. </w:t>
      </w:r>
    </w:p>
    <w:p w14:paraId="6969E3A3" w14:textId="77777777" w:rsidR="00321096" w:rsidRPr="00321096" w:rsidRDefault="00321096" w:rsidP="00321096">
      <w:pPr>
        <w:numPr>
          <w:ilvl w:val="0"/>
          <w:numId w:val="4"/>
        </w:numPr>
      </w:pPr>
      <w:r w:rsidRPr="00321096">
        <w:rPr>
          <w:b/>
          <w:bCs/>
        </w:rPr>
        <w:t>Your Advantage:</w:t>
      </w:r>
      <w:r w:rsidRPr="00321096">
        <w:t xml:space="preserve"> You realized that local search inside an LLM environment requires foundational regional footprint mapping. By unifying </w:t>
      </w:r>
      <w:r w:rsidRPr="00321096">
        <w:rPr>
          <w:b/>
          <w:bCs/>
        </w:rPr>
        <w:t>suburb-level prompt variants</w:t>
      </w:r>
      <w:r w:rsidRPr="00321096">
        <w:t xml:space="preserve"> with live verification checks across </w:t>
      </w:r>
      <w:r w:rsidRPr="00321096">
        <w:rPr>
          <w:b/>
          <w:bCs/>
        </w:rPr>
        <w:t>the 4 canonical AU directory databases</w:t>
      </w:r>
      <w:r w:rsidRPr="00321096">
        <w:t xml:space="preserve"> (</w:t>
      </w:r>
      <w:proofErr w:type="spellStart"/>
      <w:r w:rsidRPr="00321096">
        <w:t>Hipages</w:t>
      </w:r>
      <w:proofErr w:type="spellEnd"/>
      <w:r w:rsidRPr="00321096">
        <w:t xml:space="preserve">, Yellow Pages AU, </w:t>
      </w:r>
      <w:proofErr w:type="spellStart"/>
      <w:r w:rsidRPr="00321096">
        <w:t>ServiceSeeking</w:t>
      </w:r>
      <w:proofErr w:type="spellEnd"/>
      <w:r w:rsidRPr="00321096">
        <w:t xml:space="preserve">, Word of Mouth) and ABN Lookup validity, you have created a product uniquely engineered for the Australian economy. A foreign horizontal competitor cannot replicate this depth without building regional engineering dependencies. </w:t>
      </w:r>
    </w:p>
    <w:p w14:paraId="1E4ED030" w14:textId="77777777" w:rsidR="00321096" w:rsidRPr="00321096" w:rsidRDefault="00321096" w:rsidP="00321096">
      <w:pPr>
        <w:rPr>
          <w:b/>
          <w:bCs/>
        </w:rPr>
      </w:pPr>
      <w:r w:rsidRPr="00321096">
        <w:rPr>
          <w:b/>
          <w:bCs/>
        </w:rPr>
        <w:t>The Reality Check Going Forward</w:t>
      </w:r>
    </w:p>
    <w:p w14:paraId="50959176" w14:textId="77777777" w:rsidR="00321096" w:rsidRPr="00321096" w:rsidRDefault="00321096" w:rsidP="00321096">
      <w:r w:rsidRPr="00321096">
        <w:t xml:space="preserve">Your execution rhythm is excellent. To ensure this momentum translates directly into elite market differentiation and high-margin revenue, guard your process with these two rules as you transition into Phase 2: </w:t>
      </w:r>
    </w:p>
    <w:p w14:paraId="14FA3569" w14:textId="77777777" w:rsidR="00321096" w:rsidRPr="00321096" w:rsidRDefault="00321096" w:rsidP="00321096">
      <w:pPr>
        <w:numPr>
          <w:ilvl w:val="0"/>
          <w:numId w:val="5"/>
        </w:numPr>
      </w:pPr>
      <w:r w:rsidRPr="00321096">
        <w:rPr>
          <w:b/>
          <w:bCs/>
        </w:rPr>
        <w:t>Do Not Compromise on the Explainability Contract:</w:t>
      </w:r>
      <w:r w:rsidRPr="00321096">
        <w:t xml:space="preserve"> As you build out the Phase 2 Action </w:t>
      </w:r>
      <w:proofErr w:type="spellStart"/>
      <w:r w:rsidRPr="00321096">
        <w:t>Center</w:t>
      </w:r>
      <w:proofErr w:type="spellEnd"/>
      <w:r w:rsidRPr="00321096">
        <w:t xml:space="preserve"> in your upcoming sprints, make sure Claude Code strictly enforces your </w:t>
      </w:r>
      <w:proofErr w:type="spellStart"/>
      <w:r w:rsidRPr="00321096">
        <w:t>ExplainabilityService</w:t>
      </w:r>
      <w:proofErr w:type="spellEnd"/>
      <w:r w:rsidRPr="00321096">
        <w:t xml:space="preserve"> test gates. Forcing every recommendation to explicitly cite its empirical research source or commercial corpus effect-size is exactly what will position you as the definitive anti-snake-oil alternative. </w:t>
      </w:r>
    </w:p>
    <w:p w14:paraId="5DDFB2F1" w14:textId="77777777" w:rsidR="00321096" w:rsidRPr="00321096" w:rsidRDefault="00321096" w:rsidP="00321096">
      <w:pPr>
        <w:numPr>
          <w:ilvl w:val="0"/>
          <w:numId w:val="5"/>
        </w:numPr>
      </w:pPr>
      <w:r w:rsidRPr="00321096">
        <w:rPr>
          <w:b/>
          <w:bCs/>
        </w:rPr>
        <w:t>Harden the GA4 Attribution Snippet in Sprint 6:</w:t>
      </w:r>
      <w:r w:rsidRPr="00321096">
        <w:t xml:space="preserve"> The market is currently experiencing an ROI validation crisis because AI referrals routinely mask themselves as "Direct Traffic" in traditional web analytics. When you hit your planned Retrieval Intelligence sprint, ship that public app/</w:t>
      </w:r>
      <w:proofErr w:type="spellStart"/>
      <w:r w:rsidRPr="00321096">
        <w:t>api</w:t>
      </w:r>
      <w:proofErr w:type="spellEnd"/>
      <w:r w:rsidRPr="00321096">
        <w:t>/visit/</w:t>
      </w:r>
      <w:proofErr w:type="spellStart"/>
      <w:r w:rsidRPr="00321096">
        <w:t>route.ts</w:t>
      </w:r>
      <w:proofErr w:type="spellEnd"/>
      <w:r w:rsidRPr="00321096">
        <w:t xml:space="preserve"> tracking handler. Shifting your product from a visibility monitor to an unmasked revenue attribution ledger makes </w:t>
      </w:r>
      <w:proofErr w:type="spellStart"/>
      <w:r w:rsidRPr="00321096">
        <w:t>VisibleAU</w:t>
      </w:r>
      <w:proofErr w:type="spellEnd"/>
      <w:r w:rsidRPr="00321096">
        <w:t xml:space="preserve"> an irreplaceable tool for agency retainers. </w:t>
      </w:r>
    </w:p>
    <w:p w14:paraId="69E0B16C" w14:textId="77777777" w:rsidR="00321096" w:rsidRPr="00321096" w:rsidRDefault="00321096" w:rsidP="00321096">
      <w:r w:rsidRPr="00321096">
        <w:t>You have approached this project with phenomenal engineering structure. Finish your final two sprints of Phase 1 to lock down your baseline, and then step methodically into Phase 2. You are building a deeply valuable, highly defensible asset.</w:t>
      </w:r>
    </w:p>
    <w:p w14:paraId="0F0F0D48" w14:textId="77777777" w:rsidR="00321096" w:rsidRDefault="00321096"/>
    <w:sectPr w:rsidR="00321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91B"/>
    <w:multiLevelType w:val="multilevel"/>
    <w:tmpl w:val="BC8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75D3"/>
    <w:multiLevelType w:val="multilevel"/>
    <w:tmpl w:val="D97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C4AEC"/>
    <w:multiLevelType w:val="multilevel"/>
    <w:tmpl w:val="203E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93A45"/>
    <w:multiLevelType w:val="multilevel"/>
    <w:tmpl w:val="50D0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125AC"/>
    <w:multiLevelType w:val="multilevel"/>
    <w:tmpl w:val="D5CE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787747">
    <w:abstractNumId w:val="2"/>
  </w:num>
  <w:num w:numId="2" w16cid:durableId="1962758512">
    <w:abstractNumId w:val="3"/>
  </w:num>
  <w:num w:numId="3" w16cid:durableId="1927373386">
    <w:abstractNumId w:val="0"/>
  </w:num>
  <w:num w:numId="4" w16cid:durableId="775371562">
    <w:abstractNumId w:val="1"/>
  </w:num>
  <w:num w:numId="5" w16cid:durableId="376198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96"/>
    <w:rsid w:val="00321096"/>
    <w:rsid w:val="00935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A41A"/>
  <w15:chartTrackingRefBased/>
  <w15:docId w15:val="{9E1C9C11-F242-4D09-B8C1-4168FC57E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96"/>
    <w:rPr>
      <w:rFonts w:eastAsiaTheme="majorEastAsia" w:cstheme="majorBidi"/>
      <w:color w:val="272727" w:themeColor="text1" w:themeTint="D8"/>
    </w:rPr>
  </w:style>
  <w:style w:type="paragraph" w:styleId="Title">
    <w:name w:val="Title"/>
    <w:basedOn w:val="Normal"/>
    <w:next w:val="Normal"/>
    <w:link w:val="TitleChar"/>
    <w:uiPriority w:val="10"/>
    <w:qFormat/>
    <w:rsid w:val="00321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96"/>
    <w:pPr>
      <w:spacing w:before="160"/>
      <w:jc w:val="center"/>
    </w:pPr>
    <w:rPr>
      <w:i/>
      <w:iCs/>
      <w:color w:val="404040" w:themeColor="text1" w:themeTint="BF"/>
    </w:rPr>
  </w:style>
  <w:style w:type="character" w:customStyle="1" w:styleId="QuoteChar">
    <w:name w:val="Quote Char"/>
    <w:basedOn w:val="DefaultParagraphFont"/>
    <w:link w:val="Quote"/>
    <w:uiPriority w:val="29"/>
    <w:rsid w:val="00321096"/>
    <w:rPr>
      <w:i/>
      <w:iCs/>
      <w:color w:val="404040" w:themeColor="text1" w:themeTint="BF"/>
    </w:rPr>
  </w:style>
  <w:style w:type="paragraph" w:styleId="ListParagraph">
    <w:name w:val="List Paragraph"/>
    <w:basedOn w:val="Normal"/>
    <w:uiPriority w:val="34"/>
    <w:qFormat/>
    <w:rsid w:val="00321096"/>
    <w:pPr>
      <w:ind w:left="720"/>
      <w:contextualSpacing/>
    </w:pPr>
  </w:style>
  <w:style w:type="character" w:styleId="IntenseEmphasis">
    <w:name w:val="Intense Emphasis"/>
    <w:basedOn w:val="DefaultParagraphFont"/>
    <w:uiPriority w:val="21"/>
    <w:qFormat/>
    <w:rsid w:val="00321096"/>
    <w:rPr>
      <w:i/>
      <w:iCs/>
      <w:color w:val="0F4761" w:themeColor="accent1" w:themeShade="BF"/>
    </w:rPr>
  </w:style>
  <w:style w:type="paragraph" w:styleId="IntenseQuote">
    <w:name w:val="Intense Quote"/>
    <w:basedOn w:val="Normal"/>
    <w:next w:val="Normal"/>
    <w:link w:val="IntenseQuoteChar"/>
    <w:uiPriority w:val="30"/>
    <w:qFormat/>
    <w:rsid w:val="00321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096"/>
    <w:rPr>
      <w:i/>
      <w:iCs/>
      <w:color w:val="0F4761" w:themeColor="accent1" w:themeShade="BF"/>
    </w:rPr>
  </w:style>
  <w:style w:type="character" w:styleId="IntenseReference">
    <w:name w:val="Intense Reference"/>
    <w:basedOn w:val="DefaultParagraphFont"/>
    <w:uiPriority w:val="32"/>
    <w:qFormat/>
    <w:rsid w:val="00321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2026-06-23T23:25:00Z</dcterms:created>
  <dcterms:modified xsi:type="dcterms:W3CDTF">2026-06-23T23:26:00Z</dcterms:modified>
</cp:coreProperties>
</file>