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EUROPEAN BANK</w:t>
            </w:r>
          </w:p>
          <w:p>
            <w:pPr>
              <w:spacing w:before="80"/>
              <w:jc w:val="center"/>
            </w:pPr>
            <w:r>
              <w:rPr>
                <w:rFonts w:ascii="Arial" w:cs="Arial" w:eastAsia="Arial" w:hAnsi="Arial"/>
                <w:b/>
                <w:bCs/>
                <w:color w:val="C9A84C"/>
                <w:sz w:val="32"/>
                <w:szCs w:val="32"/>
              </w:rPr>
              <w:t xml:space="preserve">EXECUTIVE SUMMARY</w:t>
            </w:r>
          </w:p>
          <w:p>
            <w:pPr>
              <w:spacing w:before="60"/>
              <w:jc w:val="center"/>
            </w:pPr>
            <w:r>
              <w:rPr>
                <w:rFonts w:ascii="Arial" w:cs="Arial" w:eastAsia="Arial" w:hAnsi="Arial"/>
                <w:color w:val="AAAAAA"/>
                <w:sz w:val="20"/>
                <w:szCs w:val="20"/>
              </w:rPr>
              <w:t xml:space="preserve">Customer Engagement &amp; Retention Intelligence  |  Dashboard v1.0  |  April 2026</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Submitted By</w:t>
            </w:r>
          </w:p>
          <w:p>
            <w:r>
              <w:rPr>
                <w:rFonts w:ascii="Arial" w:cs="Arial" w:eastAsia="Arial" w:hAnsi="Arial"/>
                <w:sz w:val="18"/>
                <w:szCs w:val="18"/>
              </w:rPr>
              <w:t xml:space="preserve">Lakshmi Mahitha Noudu</w:t>
            </w:r>
          </w:p>
          <w:p>
            <w:r>
              <w:rPr>
                <w:rFonts w:ascii="Arial" w:cs="Arial" w:eastAsia="Arial" w:hAnsi="Arial"/>
                <w:color w:val="888888"/>
                <w:sz w:val="17"/>
                <w:szCs w:val="17"/>
              </w:rPr>
              <w:t xml:space="preserve">Data Analyst Intern — Finance Analytics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Mentor</w:t>
            </w:r>
          </w:p>
          <w:p>
            <w:r>
              <w:rPr>
                <w:rFonts w:ascii="Arial" w:cs="Arial" w:eastAsia="Arial" w:hAnsi="Arial"/>
                <w:sz w:val="18"/>
                <w:szCs w:val="18"/>
              </w:rPr>
              <w:t xml:space="preserve">Sai Prasad Kagne</w:t>
            </w:r>
          </w:p>
          <w:p>
            <w:r>
              <w:rPr>
                <w:rFonts w:ascii="Arial" w:cs="Arial" w:eastAsia="Arial" w:hAnsi="Arial"/>
                <w:color w:val="888888"/>
                <w:sz w:val="17"/>
                <w:szCs w:val="17"/>
              </w:rPr>
              <w:t xml:space="preserve">Unified Mentor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1F3864"/>
                <w:sz w:val="18"/>
                <w:szCs w:val="18"/>
              </w:rPr>
              <w:t xml:space="preserve">Dashboard</w:t>
            </w:r>
          </w:p>
          <w:p>
            <w:r>
              <w:rPr>
                <w:rFonts w:ascii="Arial" w:cs="Arial" w:eastAsia="Arial" w:hAnsi="Arial"/>
                <w:sz w:val="18"/>
                <w:szCs w:val="18"/>
              </w:rPr>
              <w:t xml:space="preserve">European Bank Retention Intelligence</w:t>
            </w:r>
          </w:p>
          <w:p>
            <w:r>
              <w:rPr>
                <w:rFonts w:ascii="Arial" w:cs="Arial" w:eastAsia="Arial" w:hAnsi="Arial"/>
                <w:color w:val="888888"/>
                <w:sz w:val="17"/>
                <w:szCs w:val="17"/>
              </w:rPr>
              <w:t xml:space="preserve">Version 1.0  |  April 2026</w:t>
            </w:r>
          </w:p>
        </w:tc>
      </w:tr>
    </w:tbl>
    <w:p>
      <w:pPr>
        <w:spacing w:after="80" w:before="80"/>
      </w:pPr>
      <w:r>
        <w:t xml:space="preserve"/>
      </w:r>
    </w:p>
    <w:p>
      <w:pPr>
        <w:pBdr>
          <w:bottom w:val="single" w:color="1F3864" w:sz="6" w:space="3"/>
        </w:pBdr>
        <w:spacing w:after="80" w:before="160"/>
      </w:pPr>
      <w:r>
        <w:rPr>
          <w:rFonts w:ascii="Arial" w:cs="Arial" w:eastAsia="Arial" w:hAnsi="Arial"/>
          <w:b/>
          <w:bCs/>
          <w:color w:val="1F3864"/>
          <w:sz w:val="24"/>
          <w:szCs w:val="24"/>
        </w:rPr>
        <w:t xml:space="preserve">PURPOSE</w:t>
      </w:r>
    </w:p>
    <w:p>
      <w:pPr>
        <w:spacing w:after="55" w:before="55"/>
        <w:jc w:val="both"/>
      </w:pPr>
      <w:r>
        <w:rPr>
          <w:rFonts w:ascii="Times New Roman" w:cs="Times New Roman" w:eastAsia="Times New Roman" w:hAnsi="Times New Roman"/>
          <w:b w:val="false"/>
          <w:bCs w:val="false"/>
          <w:i w:val="false"/>
          <w:iCs w:val="false"/>
          <w:sz w:val="20"/>
          <w:szCs w:val="20"/>
        </w:rPr>
        <w:t xml:space="preserve">This Executive Summary presents key findings and strategic recommendations from a customer engagement and retention analysis of a European Bank. The analysis is built on 10,000 customer records covering France, Germany, and Spain, examining behavioral engagement, product utilization, demographic patterns, and relationship strength to identify churn drivers and design targeted retention strategies.</w:t>
      </w:r>
    </w:p>
    <w:p>
      <w:pPr>
        <w:spacing w:after="80" w:before="80"/>
      </w:pPr>
      <w:r>
        <w:t xml:space="preserve"/>
      </w:r>
    </w:p>
    <w:p>
      <w:pPr>
        <w:pBdr>
          <w:bottom w:val="single" w:color="1F3864" w:sz="6" w:space="3"/>
        </w:pBdr>
        <w:spacing w:after="80" w:before="160"/>
      </w:pPr>
      <w:r>
        <w:rPr>
          <w:rFonts w:ascii="Arial" w:cs="Arial" w:eastAsia="Arial" w:hAnsi="Arial"/>
          <w:b/>
          <w:bCs/>
          <w:color w:val="1F3864"/>
          <w:sz w:val="24"/>
          <w:szCs w:val="24"/>
        </w:rPr>
        <w:t xml:space="preserve">AT-A-GLANCE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10,000</w:t>
            </w:r>
          </w:p>
          <w:p>
            <w:pPr>
              <w:spacing w:before="30"/>
              <w:jc w:val="center"/>
            </w:pPr>
            <w:r>
              <w:rPr>
                <w:rFonts w:ascii="Arial" w:cs="Arial" w:eastAsia="Arial" w:hAnsi="Arial"/>
                <w:color w:val="555555"/>
                <w:sz w:val="17"/>
                <w:szCs w:val="17"/>
              </w:rPr>
              <w:t xml:space="preserve">Total Customers</w:t>
            </w:r>
          </w:p>
        </w:tc>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2,037</w:t>
            </w:r>
          </w:p>
          <w:p>
            <w:pPr>
              <w:spacing w:before="30"/>
              <w:jc w:val="center"/>
            </w:pPr>
            <w:r>
              <w:rPr>
                <w:rFonts w:ascii="Arial" w:cs="Arial" w:eastAsia="Arial" w:hAnsi="Arial"/>
                <w:color w:val="555555"/>
                <w:sz w:val="17"/>
                <w:szCs w:val="17"/>
              </w:rPr>
              <w:t xml:space="preserve">Churned</w:t>
            </w:r>
          </w:p>
        </w:tc>
        <w:tc>
          <w:tcPr>
            <w:tcW w:type="dxa" w:w="1872"/>
            <w:tcBorders>
              <w:top w:val="single" w:color="CCCCCC" w:sz="1"/>
              <w:left w:val="single" w:color="CCCCCC" w:sz="1"/>
              <w:bottom w:val="single" w:color="CCCCCC" w:sz="1"/>
              <w:right w:val="single" w:color="CCCCCC" w:sz="1"/>
            </w:tcBorders>
            <w:shd w:fill="EAFAF1" w:val="clear"/>
            <w:tcMar>
              <w:top w:type="dxa" w:w="120"/>
              <w:left w:type="dxa" w:w="120"/>
              <w:bottom w:type="dxa" w:w="120"/>
              <w:right w:type="dxa" w:w="120"/>
            </w:tcMar>
          </w:tcPr>
          <w:p>
            <w:pPr>
              <w:jc w:val="center"/>
            </w:pPr>
            <w:r>
              <w:rPr>
                <w:rFonts w:ascii="Arial" w:cs="Arial" w:eastAsia="Arial" w:hAnsi="Arial"/>
                <w:b/>
                <w:bCs/>
                <w:color w:val="27AE60"/>
                <w:sz w:val="36"/>
                <w:szCs w:val="36"/>
              </w:rPr>
              <w:t xml:space="preserve">7,963</w:t>
            </w:r>
          </w:p>
          <w:p>
            <w:pPr>
              <w:spacing w:before="30"/>
              <w:jc w:val="center"/>
            </w:pPr>
            <w:r>
              <w:rPr>
                <w:rFonts w:ascii="Arial" w:cs="Arial" w:eastAsia="Arial" w:hAnsi="Arial"/>
                <w:color w:val="555555"/>
                <w:sz w:val="17"/>
                <w:szCs w:val="17"/>
              </w:rPr>
              <w:t xml:space="preserve">Retained</w:t>
            </w:r>
          </w:p>
        </w:tc>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20.37%</w:t>
            </w:r>
          </w:p>
          <w:p>
            <w:pPr>
              <w:spacing w:before="30"/>
              <w:jc w:val="center"/>
            </w:pPr>
            <w:r>
              <w:rPr>
                <w:rFonts w:ascii="Arial" w:cs="Arial" w:eastAsia="Arial" w:hAnsi="Arial"/>
                <w:color w:val="555555"/>
                <w:sz w:val="17"/>
                <w:szCs w:val="17"/>
              </w:rPr>
              <w:t xml:space="preserve">Overall Churn Rate</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0.492</w:t>
            </w:r>
          </w:p>
          <w:p>
            <w:pPr>
              <w:spacing w:before="30"/>
              <w:jc w:val="center"/>
            </w:pPr>
            <w:r>
              <w:rPr>
                <w:rFonts w:ascii="Arial" w:cs="Arial" w:eastAsia="Arial" w:hAnsi="Arial"/>
                <w:color w:val="555555"/>
                <w:sz w:val="17"/>
                <w:szCs w:val="17"/>
              </w:rPr>
              <w:t xml:space="preserve">Avg RSI Score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32.4%</w:t>
            </w:r>
          </w:p>
          <w:p>
            <w:pPr>
              <w:spacing w:before="30"/>
              <w:jc w:val="center"/>
            </w:pPr>
            <w:r>
              <w:rPr>
                <w:rFonts w:ascii="Arial" w:cs="Arial" w:eastAsia="Arial" w:hAnsi="Arial"/>
                <w:color w:val="555555"/>
                <w:sz w:val="17"/>
                <w:szCs w:val="17"/>
              </w:rPr>
              <w:t xml:space="preserve">Germany Churn</w:t>
            </w:r>
          </w:p>
        </w:tc>
        <w:tc>
          <w:tcPr>
            <w:tcW w:type="dxa" w:w="1872"/>
            <w:tcBorders>
              <w:top w:val="single" w:color="CCCCCC" w:sz="1"/>
              <w:left w:val="single" w:color="CCCCCC" w:sz="1"/>
              <w:bottom w:val="single" w:color="CCCCCC" w:sz="1"/>
              <w:right w:val="single" w:color="CCCCCC" w:sz="1"/>
            </w:tcBorders>
            <w:shd w:fill="EAFAF1" w:val="clear"/>
            <w:tcMar>
              <w:top w:type="dxa" w:w="120"/>
              <w:left w:type="dxa" w:w="120"/>
              <w:bottom w:type="dxa" w:w="120"/>
              <w:right w:type="dxa" w:w="120"/>
            </w:tcMar>
          </w:tcPr>
          <w:p>
            <w:pPr>
              <w:jc w:val="center"/>
            </w:pPr>
            <w:r>
              <w:rPr>
                <w:rFonts w:ascii="Arial" w:cs="Arial" w:eastAsia="Arial" w:hAnsi="Arial"/>
                <w:b/>
                <w:bCs/>
                <w:color w:val="27AE60"/>
                <w:sz w:val="36"/>
                <w:szCs w:val="36"/>
              </w:rPr>
              <w:t xml:space="preserve">2 prods</w:t>
            </w:r>
          </w:p>
          <w:p>
            <w:pPr>
              <w:spacing w:before="30"/>
              <w:jc w:val="center"/>
            </w:pPr>
            <w:r>
              <w:rPr>
                <w:rFonts w:ascii="Arial" w:cs="Arial" w:eastAsia="Arial" w:hAnsi="Arial"/>
                <w:color w:val="555555"/>
                <w:sz w:val="17"/>
                <w:szCs w:val="17"/>
              </w:rPr>
              <w:t xml:space="preserve">Best Product Count</w:t>
            </w:r>
          </w:p>
        </w:tc>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3 prods</w:t>
            </w:r>
          </w:p>
          <w:p>
            <w:pPr>
              <w:spacing w:before="30"/>
              <w:jc w:val="center"/>
            </w:pPr>
            <w:r>
              <w:rPr>
                <w:rFonts w:ascii="Arial" w:cs="Arial" w:eastAsia="Arial" w:hAnsi="Arial"/>
                <w:color w:val="555555"/>
                <w:sz w:val="17"/>
                <w:szCs w:val="17"/>
              </w:rPr>
              <w:t xml:space="preserve">Worst Product Count</w:t>
            </w:r>
          </w:p>
        </w:tc>
        <w:tc>
          <w:tcPr>
            <w:tcW w:type="dxa" w:w="1872"/>
            <w:tcBorders>
              <w:top w:val="single" w:color="CCCCCC" w:sz="1"/>
              <w:left w:val="single" w:color="CCCCCC" w:sz="1"/>
              <w:bottom w:val="single" w:color="CCCCCC" w:sz="1"/>
              <w:right w:val="single" w:color="CCCCCC" w:sz="1"/>
            </w:tcBorders>
            <w:shd w:fill="FDEDEC" w:val="clear"/>
            <w:tcMar>
              <w:top w:type="dxa" w:w="120"/>
              <w:left w:type="dxa" w:w="120"/>
              <w:bottom w:type="dxa" w:w="120"/>
              <w:right w:type="dxa" w:w="120"/>
            </w:tcMar>
          </w:tcPr>
          <w:p>
            <w:pPr>
              <w:jc w:val="center"/>
            </w:pPr>
            <w:r>
              <w:rPr>
                <w:rFonts w:ascii="Arial" w:cs="Arial" w:eastAsia="Arial" w:hAnsi="Arial"/>
                <w:b/>
                <w:bCs/>
                <w:color w:val="C0392B"/>
                <w:sz w:val="36"/>
                <w:szCs w:val="36"/>
              </w:rPr>
              <w:t xml:space="preserve">1,247</w:t>
            </w:r>
          </w:p>
          <w:p>
            <w:pPr>
              <w:spacing w:before="30"/>
              <w:jc w:val="center"/>
            </w:pPr>
            <w:r>
              <w:rPr>
                <w:rFonts w:ascii="Arial" w:cs="Arial" w:eastAsia="Arial" w:hAnsi="Arial"/>
                <w:color w:val="555555"/>
                <w:sz w:val="17"/>
                <w:szCs w:val="17"/>
              </w:rPr>
              <w:t xml:space="preserve">At-Risk Premium</w:t>
            </w:r>
          </w:p>
        </w:tc>
        <w:tc>
          <w:tcPr>
            <w:tcW w:type="dxa" w:w="1872"/>
            <w:tcBorders>
              <w:top w:val="single" w:color="CCCCCC" w:sz="1"/>
              <w:left w:val="single" w:color="CCCCCC" w:sz="1"/>
              <w:bottom w:val="single" w:color="CCCCCC" w:sz="1"/>
              <w:right w:val="single" w:color="CCCCCC" w:sz="1"/>
            </w:tcBorders>
            <w:shd w:fill="EBF3FB" w:val="clear"/>
            <w:tcMar>
              <w:top w:type="dxa" w:w="120"/>
              <w:left w:type="dxa" w:w="120"/>
              <w:bottom w:type="dxa" w:w="120"/>
              <w:right w:type="dxa" w:w="120"/>
            </w:tcMar>
          </w:tcPr>
          <w:p>
            <w:pPr>
              <w:jc w:val="center"/>
            </w:pPr>
            <w:r>
              <w:rPr>
                <w:rFonts w:ascii="Arial" w:cs="Arial" w:eastAsia="Arial" w:hAnsi="Arial"/>
                <w:b/>
                <w:bCs/>
                <w:color w:val="1F3864"/>
                <w:sz w:val="36"/>
                <w:szCs w:val="36"/>
              </w:rPr>
              <w:t xml:space="preserve">14.3% vs 26.9%</w:t>
            </w:r>
          </w:p>
          <w:p>
            <w:pPr>
              <w:spacing w:before="30"/>
              <w:jc w:val="center"/>
            </w:pPr>
            <w:r>
              <w:rPr>
                <w:rFonts w:ascii="Arial" w:cs="Arial" w:eastAsia="Arial" w:hAnsi="Arial"/>
                <w:color w:val="555555"/>
                <w:sz w:val="17"/>
                <w:szCs w:val="17"/>
              </w:rPr>
              <w:t xml:space="preserve">Active vs Inactive</w:t>
            </w:r>
          </w:p>
        </w:tc>
      </w:tr>
    </w:tbl>
    <w:p>
      <w:pPr>
        <w:spacing w:after="80" w:before="80"/>
      </w:pPr>
      <w:r>
        <w:t xml:space="preserve"/>
      </w:r>
    </w:p>
    <w:p>
      <w:pPr>
        <w:pBdr>
          <w:bottom w:val="single" w:color="1F3864" w:sz="6" w:space="3"/>
        </w:pBdr>
        <w:spacing w:after="80" w:before="160"/>
      </w:pPr>
      <w:r>
        <w:rPr>
          <w:rFonts w:ascii="Arial" w:cs="Arial" w:eastAsia="Arial" w:hAnsi="Arial"/>
          <w:b/>
          <w:bCs/>
          <w:color w:val="1F3864"/>
          <w:sz w:val="24"/>
          <w:szCs w:val="24"/>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74C3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1</w:t>
            </w:r>
          </w:p>
        </w:tc>
        <w:tc>
          <w:tcPr>
            <w:tcW w:type="dxa" w:w="9120"/>
            <w:tcBorders>
              <w:top w:val="none" w:color="FFFFFF" w:sz="0"/>
              <w:left w:val="single" w:color="E74C3C" w:sz="4"/>
              <w:bottom w:val="none" w:color="FFFFFF" w:sz="0"/>
              <w:right w:val="none" w:color="FFFFFF" w:sz="0"/>
            </w:tcBorders>
            <w:shd w:fill="FDEDEC" w:val="clear"/>
            <w:tcMar>
              <w:top w:type="dxa" w:w="80"/>
              <w:left w:type="dxa" w:w="160"/>
              <w:bottom w:type="dxa" w:w="80"/>
              <w:right w:type="dxa" w:w="120"/>
            </w:tcMar>
          </w:tcPr>
          <w:p>
            <w:r>
              <w:rPr>
                <w:rFonts w:ascii="Arial" w:cs="Arial" w:eastAsia="Arial" w:hAnsi="Arial"/>
                <w:b/>
                <w:bCs/>
                <w:color w:val="C0392B"/>
                <w:sz w:val="21"/>
                <w:szCs w:val="21"/>
              </w:rPr>
              <w:t xml:space="preserve">Germany churns at 32.4% — nearly double France and Spain</w:t>
            </w:r>
          </w:p>
          <w:p>
            <w:pPr>
              <w:spacing w:before="40"/>
              <w:jc w:val="both"/>
            </w:pPr>
            <w:r>
              <w:rPr>
                <w:rFonts w:ascii="Times New Roman" w:cs="Times New Roman" w:eastAsia="Times New Roman" w:hAnsi="Times New Roman"/>
                <w:sz w:val="19"/>
                <w:szCs w:val="19"/>
              </w:rPr>
              <w:t xml:space="preserve">Germany records the highest churn rate at 32.4% compared to France at 16.2% and Spain at 16.7%. This geographic disparity suggests country-specific competitive pressure or service gaps that require a dedicated retention program.</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74C3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2</w:t>
            </w:r>
          </w:p>
        </w:tc>
        <w:tc>
          <w:tcPr>
            <w:tcW w:type="dxa" w:w="9120"/>
            <w:tcBorders>
              <w:top w:val="none" w:color="FFFFFF" w:sz="0"/>
              <w:left w:val="single" w:color="E74C3C" w:sz="4"/>
              <w:bottom w:val="none" w:color="FFFFFF" w:sz="0"/>
              <w:right w:val="none" w:color="FFFFFF" w:sz="0"/>
            </w:tcBorders>
            <w:shd w:fill="FDEDEC" w:val="clear"/>
            <w:tcMar>
              <w:top w:type="dxa" w:w="80"/>
              <w:left w:type="dxa" w:w="160"/>
              <w:bottom w:type="dxa" w:w="80"/>
              <w:right w:type="dxa" w:w="120"/>
            </w:tcMar>
          </w:tcPr>
          <w:p>
            <w:r>
              <w:rPr>
                <w:rFonts w:ascii="Arial" w:cs="Arial" w:eastAsia="Arial" w:hAnsi="Arial"/>
                <w:b/>
                <w:bCs/>
                <w:color w:val="C0392B"/>
                <w:sz w:val="21"/>
                <w:szCs w:val="21"/>
              </w:rPr>
              <w:t xml:space="preserve">3-4 product customers churn at 83-100% — product over-bundling crisis</w:t>
            </w:r>
          </w:p>
          <w:p>
            <w:pPr>
              <w:spacing w:before="40"/>
              <w:jc w:val="both"/>
            </w:pPr>
            <w:r>
              <w:rPr>
                <w:rFonts w:ascii="Times New Roman" w:cs="Times New Roman" w:eastAsia="Times New Roman" w:hAnsi="Times New Roman"/>
                <w:sz w:val="19"/>
                <w:szCs w:val="19"/>
              </w:rPr>
              <w:t xml:space="preserve">Customers with 3 products churn at 82.7% and those with 4 products churn at 100%. In contrast, 2-product customers churn at only 7.6%. This non-linear pattern indicates that product over-bundling without genuine engagement creates extreme churn risk.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7AE60" w:val="clear"/>
            <w:tcMar>
              <w:top w:type="dxa" w:w="80"/>
              <w:left w:type="dxa" w:w="80"/>
              <w:bottom w:type="dxa" w:w="80"/>
              <w:right w:type="dxa" w:w="80"/>
            </w:tcMar>
          </w:tcPr>
          <w:p>
            <w:pPr>
              <w:jc w:val="center"/>
            </w:pPr>
            <w:r>
              <w:rPr>
                <w:rFonts w:ascii="Arial" w:cs="Arial" w:eastAsia="Arial" w:hAnsi="Arial"/>
                <w:b/>
                <w:bCs/>
                <w:color w:val="FFFFFF"/>
                <w:sz w:val="22"/>
                <w:szCs w:val="22"/>
              </w:rPr>
              <w:t xml:space="preserve">3</w:t>
            </w:r>
          </w:p>
        </w:tc>
        <w:tc>
          <w:tcPr>
            <w:tcW w:type="dxa" w:w="9120"/>
            <w:tcBorders>
              <w:top w:val="none" w:color="FFFFFF" w:sz="0"/>
              <w:left w:val="single" w:color="27AE60" w:sz="4"/>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1E8449"/>
                <w:sz w:val="21"/>
                <w:szCs w:val="21"/>
              </w:rPr>
              <w:t xml:space="preserve">Active members churn 12.6 points less than inactive members</w:t>
            </w:r>
          </w:p>
          <w:p>
            <w:pPr>
              <w:spacing w:before="40"/>
              <w:jc w:val="both"/>
            </w:pPr>
            <w:r>
              <w:rPr>
                <w:rFonts w:ascii="Times New Roman" w:cs="Times New Roman" w:eastAsia="Times New Roman" w:hAnsi="Times New Roman"/>
                <w:sz w:val="19"/>
                <w:szCs w:val="19"/>
              </w:rPr>
              <w:t xml:space="preserve">Active members churn at 14.3% versus 26.9% for inactive members — a 12.6 percentage point gap. Increasing engagement activity is the single most impactful lever for reducing churn across all customer segments.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7E2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4</w:t>
            </w:r>
          </w:p>
        </w:tc>
        <w:tc>
          <w:tcPr>
            <w:tcW w:type="dxa" w:w="9120"/>
            <w:tcBorders>
              <w:top w:val="none" w:color="FFFFFF" w:sz="0"/>
              <w:left w:val="single" w:color="E67E22" w:sz="4"/>
              <w:bottom w:val="none" w:color="FFFFFF" w:sz="0"/>
              <w:right w:val="none" w:color="FFFFFF" w:sz="0"/>
            </w:tcBorders>
            <w:shd w:fill="FEF9E7" w:val="clear"/>
            <w:tcMar>
              <w:top w:type="dxa" w:w="80"/>
              <w:left w:type="dxa" w:w="160"/>
              <w:bottom w:type="dxa" w:w="80"/>
              <w:right w:type="dxa" w:w="120"/>
            </w:tcMar>
          </w:tcPr>
          <w:p>
            <w:r>
              <w:rPr>
                <w:rFonts w:ascii="Arial" w:cs="Arial" w:eastAsia="Arial" w:hAnsi="Arial"/>
                <w:b/>
                <w:bCs/>
                <w:color w:val="D35400"/>
                <w:sz w:val="21"/>
                <w:szCs w:val="21"/>
              </w:rPr>
              <w:t xml:space="preserve">1,247 at-risk premium customers: high balance, zero engagement</w:t>
            </w:r>
          </w:p>
          <w:p>
            <w:pPr>
              <w:spacing w:before="40"/>
              <w:jc w:val="both"/>
            </w:pPr>
            <w:r>
              <w:rPr>
                <w:rFonts w:ascii="Times New Roman" w:cs="Times New Roman" w:eastAsia="Times New Roman" w:hAnsi="Times New Roman"/>
                <w:sz w:val="19"/>
                <w:szCs w:val="19"/>
              </w:rPr>
              <w:t xml:space="preserve">Customers with Balance &gt; €127,644 (top 25%) AND inactive status number 1,247 and churn at 32.2%. These silent churners hold significant financial value and represent the highest-priority retention opportunity for the bank.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74C3C" w:val="clear"/>
            <w:tcMar>
              <w:top w:type="dxa" w:w="80"/>
              <w:left w:type="dxa" w:w="80"/>
              <w:bottom w:type="dxa" w:w="80"/>
              <w:right w:type="dxa" w:w="80"/>
            </w:tcMar>
          </w:tcPr>
          <w:p>
            <w:pPr>
              <w:jc w:val="center"/>
            </w:pPr>
            <w:r>
              <w:rPr>
                <w:rFonts w:ascii="Arial" w:cs="Arial" w:eastAsia="Arial" w:hAnsi="Arial"/>
                <w:b/>
                <w:bCs/>
                <w:color w:val="FFFFFF"/>
                <w:sz w:val="22"/>
                <w:szCs w:val="22"/>
              </w:rPr>
              <w:t xml:space="preserve">5</w:t>
            </w:r>
          </w:p>
        </w:tc>
        <w:tc>
          <w:tcPr>
            <w:tcW w:type="dxa" w:w="9120"/>
            <w:tcBorders>
              <w:top w:val="none" w:color="FFFFFF" w:sz="0"/>
              <w:left w:val="single" w:color="E74C3C" w:sz="4"/>
              <w:bottom w:val="none" w:color="FFFFFF" w:sz="0"/>
              <w:right w:val="none" w:color="FFFFFF" w:sz="0"/>
            </w:tcBorders>
            <w:shd w:fill="FDEDEC" w:val="clear"/>
            <w:tcMar>
              <w:top w:type="dxa" w:w="80"/>
              <w:left w:type="dxa" w:w="160"/>
              <w:bottom w:type="dxa" w:w="80"/>
              <w:right w:type="dxa" w:w="120"/>
            </w:tcMar>
          </w:tcPr>
          <w:p>
            <w:r>
              <w:rPr>
                <w:rFonts w:ascii="Arial" w:cs="Arial" w:eastAsia="Arial" w:hAnsi="Arial"/>
                <w:b/>
                <w:bCs/>
                <w:color w:val="C0392B"/>
                <w:sz w:val="21"/>
                <w:szCs w:val="21"/>
              </w:rPr>
              <w:t xml:space="preserve">51-60 age group churns at 56.2% — senior customer crisis</w:t>
            </w:r>
          </w:p>
          <w:p>
            <w:pPr>
              <w:spacing w:before="40"/>
              <w:jc w:val="both"/>
            </w:pPr>
            <w:r>
              <w:rPr>
                <w:rFonts w:ascii="Times New Roman" w:cs="Times New Roman" w:eastAsia="Times New Roman" w:hAnsi="Times New Roman"/>
                <w:sz w:val="19"/>
                <w:szCs w:val="19"/>
              </w:rPr>
              <w:t xml:space="preserve">The 51-60 age group has the highest churn at 56.2%, followed by 60+ at 24.8%. Female customers churn at 25.1% versus 16.5% for males. Both segments require dedicated engagement strategies tailored to their specific banking needs.</w:t>
            </w:r>
          </w:p>
        </w:tc>
      </w:tr>
    </w:tbl>
    <w:p>
      <w:pPr>
        <w:spacing w:after="80" w:before="80"/>
      </w:pPr>
      <w:r>
        <w:t xml:space="preserve"/>
      </w:r>
    </w:p>
    <w:p>
      <w:pPr>
        <w:pBdr>
          <w:bottom w:val="single" w:color="1F3864" w:sz="6" w:space="3"/>
        </w:pBdr>
        <w:spacing w:after="80" w:before="160"/>
      </w:pPr>
      <w:r>
        <w:rPr>
          <w:rFonts w:ascii="Arial" w:cs="Arial" w:eastAsia="Arial" w:hAnsi="Arial"/>
          <w:b/>
          <w:bCs/>
          <w:color w:val="1F3864"/>
          <w:sz w:val="24"/>
          <w:szCs w:val="24"/>
        </w:rPr>
        <w:t xml:space="preserve">CHURN BY SEGMENT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160"/>
        <w:gridCol w:w="264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Segment</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Category</w:t>
            </w:r>
          </w:p>
        </w:tc>
        <w:tc>
          <w:tcPr>
            <w:tcW w:type="dxa" w:w="2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Churn Rate</w:t>
            </w:r>
          </w:p>
        </w:tc>
        <w:tc>
          <w:tcPr>
            <w:tcW w:type="dxa" w:w="26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Risk Level</w:t>
            </w:r>
          </w:p>
        </w:tc>
      </w:tr>
      <w:tr>
        <w:tc>
          <w:tcPr>
            <w:tcW w:type="dxa" w:w="24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Geography</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Germany</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32.4%</w:t>
            </w:r>
          </w:p>
        </w:tc>
        <w:tc>
          <w:tcPr>
            <w:tcW w:type="dxa" w:w="26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Critical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Geography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France / Spain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27AE60"/>
                <w:sz w:val="18"/>
                <w:szCs w:val="18"/>
              </w:rPr>
              <w:t xml:space="preserve">16.2% / 16.7%</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Low Risk</w:t>
            </w:r>
          </w:p>
        </w:tc>
      </w:tr>
      <w:tr>
        <w:tc>
          <w:tcPr>
            <w:tcW w:type="dxa" w:w="24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Products</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2 Products</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7.6%</w:t>
            </w:r>
          </w:p>
        </w:tc>
        <w:tc>
          <w:tcPr>
            <w:tcW w:type="dxa" w:w="26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Optimal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Products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3-4 Products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83-100%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Critical</w:t>
            </w:r>
          </w:p>
        </w:tc>
      </w:tr>
      <w:tr>
        <w:tc>
          <w:tcPr>
            <w:tcW w:type="dxa" w:w="24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Engagement</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Active</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14.3%</w:t>
            </w:r>
          </w:p>
        </w:tc>
        <w:tc>
          <w:tcPr>
            <w:tcW w:type="dxa" w:w="26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Low 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Engagement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Inactive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26.9%</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High Risk</w:t>
            </w:r>
          </w:p>
        </w:tc>
      </w:tr>
      <w:tr>
        <w:tc>
          <w:tcPr>
            <w:tcW w:type="dxa" w:w="24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Age Group</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51-60 Years</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56.2%</w:t>
            </w:r>
          </w:p>
        </w:tc>
        <w:tc>
          <w:tcPr>
            <w:tcW w:type="dxa" w:w="26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Critical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Age Group</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18-30 Years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7AE60"/>
                <w:sz w:val="18"/>
                <w:szCs w:val="18"/>
              </w:rPr>
              <w:t xml:space="preserve">7.5%</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Loyal</w:t>
            </w:r>
          </w:p>
        </w:tc>
      </w:tr>
      <w:tr>
        <w:tc>
          <w:tcPr>
            <w:tcW w:type="dxa" w:w="240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Gender</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Female</w:t>
            </w:r>
          </w:p>
        </w:tc>
        <w:tc>
          <w:tcPr>
            <w:tcW w:type="dxa" w:w="216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C0392B"/>
                <w:sz w:val="18"/>
                <w:szCs w:val="18"/>
              </w:rPr>
              <w:t xml:space="preserve">25.1%</w:t>
            </w:r>
          </w:p>
        </w:tc>
        <w:tc>
          <w:tcPr>
            <w:tcW w:type="dxa" w:w="26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Medium 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Balance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At-Risk Premium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32.2%</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Silent Churners</w:t>
            </w:r>
          </w:p>
        </w:tc>
      </w:tr>
    </w:tbl>
    <w:p>
      <w:pPr>
        <w:spacing w:after="80" w:before="80"/>
      </w:pPr>
      <w:r>
        <w:t xml:space="preserve"/>
      </w:r>
    </w:p>
    <w:p>
      <w:pPr>
        <w:pBdr>
          <w:bottom w:val="single" w:color="1F3864" w:sz="6" w:space="3"/>
        </w:pBdr>
        <w:spacing w:after="80" w:before="160"/>
      </w:pPr>
      <w:r>
        <w:rPr>
          <w:rFonts w:ascii="Arial" w:cs="Arial" w:eastAsia="Arial" w:hAnsi="Arial"/>
          <w:b/>
          <w:bCs/>
          <w:color w:val="1F3864"/>
          <w:sz w:val="24"/>
          <w:szCs w:val="24"/>
        </w:rPr>
        <w:t xml:space="preserve">STRATEGIC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74C3C"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R1</w:t>
            </w:r>
          </w:p>
          <w:p>
            <w:pPr>
              <w:jc w:val="center"/>
            </w:pPr>
            <w:r>
              <w:rPr>
                <w:rFonts w:ascii="Arial" w:cs="Arial" w:eastAsia="Arial" w:hAnsi="Arial"/>
                <w:color w:val="FDEDEC"/>
                <w:sz w:val="14"/>
                <w:szCs w:val="14"/>
              </w:rPr>
              <w:t xml:space="preserve">HIGH</w:t>
            </w:r>
          </w:p>
        </w:tc>
        <w:tc>
          <w:tcPr>
            <w:tcW w:type="dxa" w:w="888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20"/>
            </w:tcMar>
          </w:tcPr>
          <w:p>
            <w:r>
              <w:rPr>
                <w:rFonts w:ascii="Arial" w:cs="Arial" w:eastAsia="Arial" w:hAnsi="Arial"/>
                <w:b/>
                <w:bCs/>
                <w:color w:val="C0392B"/>
                <w:sz w:val="20"/>
                <w:szCs w:val="20"/>
              </w:rPr>
              <w:t xml:space="preserve">Re-engage 1,247 At-Risk Premium Customers Immediately</w:t>
            </w:r>
          </w:p>
          <w:p>
            <w:pPr>
              <w:spacing w:before="35"/>
              <w:jc w:val="both"/>
            </w:pPr>
            <w:r>
              <w:rPr>
                <w:rFonts w:ascii="Times New Roman" w:cs="Times New Roman" w:eastAsia="Times New Roman" w:hAnsi="Times New Roman"/>
                <w:sz w:val="19"/>
                <w:szCs w:val="19"/>
              </w:rPr>
              <w:t xml:space="preserve">Launch personalised outreach via relationship managers for all 1,247 high-balance inactive customers. Offer exclusive products, fee waivers, and advisory sessions. These customers churn at 32.2% and represent the greatest financial loss risk.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74C3C"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R2</w:t>
            </w:r>
          </w:p>
          <w:p>
            <w:pPr>
              <w:jc w:val="center"/>
            </w:pPr>
            <w:r>
              <w:rPr>
                <w:rFonts w:ascii="Arial" w:cs="Arial" w:eastAsia="Arial" w:hAnsi="Arial"/>
                <w:color w:val="FDEDEC"/>
                <w:sz w:val="14"/>
                <w:szCs w:val="14"/>
              </w:rPr>
              <w:t xml:space="preserve">HIGH</w:t>
            </w:r>
          </w:p>
        </w:tc>
        <w:tc>
          <w:tcPr>
            <w:tcW w:type="dxa" w:w="888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20"/>
            </w:tcMar>
          </w:tcPr>
          <w:p>
            <w:r>
              <w:rPr>
                <w:rFonts w:ascii="Arial" w:cs="Arial" w:eastAsia="Arial" w:hAnsi="Arial"/>
                <w:b/>
                <w:bCs/>
                <w:color w:val="C0392B"/>
                <w:sz w:val="20"/>
                <w:szCs w:val="20"/>
              </w:rPr>
              <w:t xml:space="preserve">Audit and Redesign 3-4 Product Bundling Strategy</w:t>
            </w:r>
          </w:p>
          <w:p>
            <w:pPr>
              <w:spacing w:before="35"/>
              <w:jc w:val="both"/>
            </w:pPr>
            <w:r>
              <w:rPr>
                <w:rFonts w:ascii="Times New Roman" w:cs="Times New Roman" w:eastAsia="Times New Roman" w:hAnsi="Times New Roman"/>
                <w:sz w:val="19"/>
                <w:szCs w:val="19"/>
              </w:rPr>
              <w:t xml:space="preserve">Customers with 3-4 products churn at 83-100% — the highest of any segment. Investigate whether these customers were over-sold products without genuine need. Redesign bundling to focus on 2-product sweet spot (7.6% churn) before cross-selling further.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7AE6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R3</w:t>
            </w:r>
          </w:p>
          <w:p>
            <w:pPr>
              <w:jc w:val="center"/>
            </w:pPr>
            <w:r>
              <w:rPr>
                <w:rFonts w:ascii="Arial" w:cs="Arial" w:eastAsia="Arial" w:hAnsi="Arial"/>
                <w:color w:val="EAFAF1"/>
                <w:sz w:val="14"/>
                <w:szCs w:val="14"/>
              </w:rPr>
              <w:t xml:space="preserve">HIGH</w:t>
            </w:r>
          </w:p>
        </w:tc>
        <w:tc>
          <w:tcPr>
            <w:tcW w:type="dxa" w:w="8880"/>
            <w:tcBorders>
              <w:top w:val="single" w:color="CCCCCC" w:sz="1"/>
              <w:left w:val="single" w:color="CCCCCC" w:sz="1"/>
              <w:bottom w:val="single" w:color="CCCCCC" w:sz="1"/>
              <w:right w:val="single" w:color="CCCCCC" w:sz="1"/>
            </w:tcBorders>
            <w:shd w:fill="EAFAF1" w:val="clear"/>
            <w:tcMar>
              <w:top w:type="dxa" w:w="100"/>
              <w:left w:type="dxa" w:w="160"/>
              <w:bottom w:type="dxa" w:w="100"/>
              <w:right w:type="dxa" w:w="120"/>
            </w:tcMar>
          </w:tcPr>
          <w:p>
            <w:r>
              <w:rPr>
                <w:rFonts w:ascii="Arial" w:cs="Arial" w:eastAsia="Arial" w:hAnsi="Arial"/>
                <w:b/>
                <w:bCs/>
                <w:color w:val="1E8449"/>
                <w:sz w:val="20"/>
                <w:szCs w:val="20"/>
              </w:rPr>
              <w:t xml:space="preserve">Germany-Specific Retention Initiative</w:t>
            </w:r>
          </w:p>
          <w:p>
            <w:pPr>
              <w:spacing w:before="35"/>
              <w:jc w:val="both"/>
            </w:pPr>
            <w:r>
              <w:rPr>
                <w:rFonts w:ascii="Times New Roman" w:cs="Times New Roman" w:eastAsia="Times New Roman" w:hAnsi="Times New Roman"/>
                <w:sz w:val="19"/>
                <w:szCs w:val="19"/>
              </w:rPr>
              <w:t xml:space="preserve">Germany's 32.4% churn rate is nearly double other markets. A dedicated country-level program addressing local competitive offers, service quality, and customer experience improvements is urgently needed.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67E22"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R4</w:t>
            </w:r>
          </w:p>
          <w:p>
            <w:pPr>
              <w:jc w:val="center"/>
            </w:pPr>
            <w:r>
              <w:rPr>
                <w:rFonts w:ascii="Arial" w:cs="Arial" w:eastAsia="Arial" w:hAnsi="Arial"/>
                <w:color w:val="FEF9E7"/>
                <w:sz w:val="14"/>
                <w:szCs w:val="14"/>
              </w:rPr>
              <w:t xml:space="preserve">MED</w:t>
            </w:r>
          </w:p>
        </w:tc>
        <w:tc>
          <w:tcPr>
            <w:tcW w:type="dxa" w:w="888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20"/>
            </w:tcMar>
          </w:tcPr>
          <w:p>
            <w:r>
              <w:rPr>
                <w:rFonts w:ascii="Arial" w:cs="Arial" w:eastAsia="Arial" w:hAnsi="Arial"/>
                <w:b/>
                <w:bCs/>
                <w:color w:val="D35400"/>
                <w:sz w:val="20"/>
                <w:szCs w:val="20"/>
              </w:rPr>
              <w:t xml:space="preserve">Senior Customer Engagement Program (51-60 Age Group)</w:t>
            </w:r>
          </w:p>
          <w:p>
            <w:pPr>
              <w:spacing w:before="35"/>
              <w:jc w:val="both"/>
            </w:pPr>
            <w:r>
              <w:rPr>
                <w:rFonts w:ascii="Times New Roman" w:cs="Times New Roman" w:eastAsia="Times New Roman" w:hAnsi="Times New Roman"/>
                <w:sz w:val="19"/>
                <w:szCs w:val="19"/>
              </w:rPr>
              <w:t xml:space="preserve">The 51-60 age group churns at 56.2%. Assign dedicated relationship managers, simplify digital interfaces, and develop senior-specific financial products to address this segment's unique needs and reduce their exceptional churn rate.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R5</w:t>
            </w:r>
          </w:p>
          <w:p>
            <w:pPr>
              <w:jc w:val="center"/>
            </w:pPr>
            <w:r>
              <w:rPr>
                <w:rFonts w:ascii="Arial" w:cs="Arial" w:eastAsia="Arial" w:hAnsi="Arial"/>
                <w:color w:val="EBF5FB"/>
                <w:sz w:val="14"/>
                <w:szCs w:val="14"/>
              </w:rPr>
              <w:t xml:space="preserve">MED</w:t>
            </w:r>
          </w:p>
        </w:tc>
        <w:tc>
          <w:tcPr>
            <w:tcW w:type="dxa" w:w="888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20"/>
            </w:tcMar>
          </w:tcPr>
          <w:p>
            <w:r>
              <w:rPr>
                <w:rFonts w:ascii="Arial" w:cs="Arial" w:eastAsia="Arial" w:hAnsi="Arial"/>
                <w:b/>
                <w:bCs/>
                <w:color w:val="1A5276"/>
                <w:sz w:val="20"/>
                <w:szCs w:val="20"/>
              </w:rPr>
              <w:t xml:space="preserve">Female Customer Loyalty Programme</w:t>
            </w:r>
          </w:p>
          <w:p>
            <w:pPr>
              <w:spacing w:before="35"/>
              <w:jc w:val="both"/>
            </w:pPr>
            <w:r>
              <w:rPr>
                <w:rFonts w:ascii="Times New Roman" w:cs="Times New Roman" w:eastAsia="Times New Roman" w:hAnsi="Times New Roman"/>
                <w:sz w:val="19"/>
                <w:szCs w:val="19"/>
              </w:rPr>
              <w:t xml:space="preserve">Female customers churn 8.6 percentage points higher than males (25.1% vs 16.5%). Gender-targeted loyalty programs, financial advisory services, and tailored product offers can close this gap significantly.</w:t>
            </w:r>
          </w:p>
        </w:tc>
      </w:tr>
    </w:tbl>
    <w:p>
      <w:pPr>
        <w:spacing w:after="80" w:before="80"/>
      </w:pPr>
      <w:r>
        <w:t xml:space="preserve"/>
      </w:r>
    </w:p>
    <w:p>
      <w:pPr>
        <w:pBdr>
          <w:bottom w:val="single" w:color="1F3864" w:sz="6" w:space="3"/>
        </w:pBdr>
        <w:spacing w:after="80" w:before="160"/>
      </w:pPr>
      <w:r>
        <w:rPr>
          <w:rFonts w:ascii="Arial" w:cs="Arial" w:eastAsia="Arial" w:hAnsi="Arial"/>
          <w:b/>
          <w:bCs/>
          <w:color w:val="1F3864"/>
          <w:sz w:val="24"/>
          <w:szCs w:val="24"/>
        </w:rPr>
        <w:t xml:space="preserve">DASHBOARD OVERVIEW</w:t>
      </w:r>
    </w:p>
    <w:p>
      <w:pPr>
        <w:spacing w:after="55" w:before="55"/>
        <w:jc w:val="both"/>
      </w:pPr>
      <w:r>
        <w:rPr>
          <w:rFonts w:ascii="Times New Roman" w:cs="Times New Roman" w:eastAsia="Times New Roman" w:hAnsi="Times New Roman"/>
          <w:b w:val="false"/>
          <w:bCs w:val="false"/>
          <w:i w:val="false"/>
          <w:iCs w:val="false"/>
          <w:sz w:val="20"/>
          <w:szCs w:val="20"/>
        </w:rPr>
        <w:t xml:space="preserve">The European Bank Retention Intelligence dashboard (Version 1.0) provides 4 interactive pages with 6 real-time sidebar filters: Geography, Gender, Number of Products, Member Status, Min Balance slider, and Min Credit Score slider.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Page</w:t>
            </w:r>
          </w:p>
        </w:tc>
        <w:tc>
          <w:tcPr>
            <w:tcW w:type="dxa" w:w="702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Content</w:t>
            </w:r>
          </w:p>
        </w:tc>
      </w:tr>
      <w:tr>
        <w:tc>
          <w:tcPr>
            <w:tcW w:type="dxa" w:w="23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Engagement Overview</w:t>
            </w:r>
          </w:p>
        </w:tc>
        <w:tc>
          <w:tcPr>
            <w:tcW w:type="dxa" w:w="702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Churn pie chart, geography bar chart, engagement profile chart, age group chart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Product Utilization</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Product count vs churn, customer distribution, active/inactive bar, geography heatmap</w:t>
            </w:r>
          </w:p>
        </w:tc>
      </w:tr>
      <w:tr>
        <w:tc>
          <w:tcPr>
            <w:tcW w:type="dxa" w:w="234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High-Value Risk</w:t>
            </w:r>
          </w:p>
        </w:tc>
        <w:tc>
          <w:tcPr>
            <w:tcW w:type="dxa" w:w="7020"/>
            <w:tcBorders>
              <w:top w:val="single" w:color="CCCCCC" w:sz="1"/>
              <w:left w:val="single" w:color="CCCCCC" w:sz="1"/>
              <w:bottom w:val="single" w:color="CCCCCC" w:sz="1"/>
              <w:right w:val="single" w:color="CCCCCC" w:sz="1"/>
            </w:tcBorders>
            <w:shd w:fill="F0F7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Balance distribution, balance tier churn, at-risk premium table, CSV download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000000"/>
                <w:sz w:val="18"/>
                <w:szCs w:val="18"/>
              </w:rPr>
              <w:t xml:space="preserve">Retention Strength</w:t>
            </w:r>
          </w:p>
        </w:tc>
        <w:tc>
          <w:tcPr>
            <w:tcW w:type="dxa" w:w="70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RSI scoring, tenure trend, credit card stickiness, credit score bands</w:t>
            </w:r>
          </w:p>
        </w:tc>
      </w:tr>
    </w:tbl>
    <w:p>
      <w:pPr>
        <w:spacing w:after="80" w:before="80"/>
      </w:pPr>
      <w:r>
        <w:t xml:space="preserve"/>
      </w:r>
    </w:p>
    <w:p>
      <w:pPr>
        <w:pBdr>
          <w:bottom w:val="single" w:color="1F3864" w:sz="6" w:space="3"/>
        </w:pBdr>
        <w:spacing w:after="80" w:before="160"/>
      </w:pPr>
      <w:r>
        <w:rPr>
          <w:rFonts w:ascii="Arial" w:cs="Arial" w:eastAsia="Arial" w:hAnsi="Arial"/>
          <w:b/>
          <w:bCs/>
          <w:color w:val="1F3864"/>
          <w:sz w:val="24"/>
          <w:szCs w:val="24"/>
        </w:rPr>
        <w:t xml:space="preserve">CLOSING STATEMENT</w:t>
      </w:r>
    </w:p>
    <w:p>
      <w:pPr>
        <w:spacing w:after="55" w:before="55"/>
        <w:jc w:val="both"/>
      </w:pPr>
      <w:r>
        <w:rPr>
          <w:rFonts w:ascii="Times New Roman" w:cs="Times New Roman" w:eastAsia="Times New Roman" w:hAnsi="Times New Roman"/>
          <w:b w:val="false"/>
          <w:bCs w:val="false"/>
          <w:i w:val="false"/>
          <w:iCs w:val="false"/>
          <w:sz w:val="20"/>
          <w:szCs w:val="20"/>
        </w:rPr>
        <w:t xml:space="preserve">This analysis reframes customer churn from a behavioral and relationship-strength perspective. The most actionable finding is that engagement level — not balance or salary — is the primary driver of retention. All 1,247 at-risk premium customers combine significant financial value with zero engagement, representing the bank's greatest retention opportunity with immediate financial impact.</w:t>
      </w:r>
    </w:p>
    <w:p>
      <w:pPr>
        <w:spacing w:after="40" w:before="40"/>
      </w:pPr>
      <w:r>
        <w:t xml:space="preserve"/>
      </w:r>
    </w:p>
    <w:p>
      <w:pPr>
        <w:spacing w:after="55" w:before="55"/>
        <w:jc w:val="both"/>
      </w:pPr>
      <w:r>
        <w:rPr>
          <w:rFonts w:ascii="Times New Roman" w:cs="Times New Roman" w:eastAsia="Times New Roman" w:hAnsi="Times New Roman"/>
          <w:b w:val="false"/>
          <w:bCs w:val="false"/>
          <w:color w:val="000000"/>
          <w:sz w:val="20"/>
          <w:szCs w:val="20"/>
        </w:rPr>
        <w:t xml:space="preserve">The full interactive dashboard, detailed research paper, and source code are available as part of this internship submission. For questions, contact </w:t>
      </w:r>
      <w:r>
        <w:rPr>
          <w:rFonts w:ascii="Times New Roman" w:cs="Times New Roman" w:eastAsia="Times New Roman" w:hAnsi="Times New Roman"/>
          <w:b/>
          <w:bCs/>
          <w:color w:val="000000"/>
          <w:sz w:val="20"/>
          <w:szCs w:val="20"/>
        </w:rPr>
        <w:t xml:space="preserve">Lakshmi Mahitha Noudu</w:t>
      </w:r>
      <w:r>
        <w:rPr>
          <w:rFonts w:ascii="Times New Roman" w:cs="Times New Roman" w:eastAsia="Times New Roman" w:hAnsi="Times New Roman"/>
          <w:b w:val="false"/>
          <w:bCs w:val="false"/>
          <w:color w:val="000000"/>
          <w:sz w:val="20"/>
          <w:szCs w:val="20"/>
        </w:rPr>
        <w:t xml:space="preserve"> via LinkedIn or through Unified Mentor.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00"/>
              <w:bottom w:type="dxa" w:w="120"/>
              <w:right w:type="dxa" w:w="300"/>
            </w:tcMar>
          </w:tcPr>
          <w:p>
            <w:pPr>
              <w:jc w:val="center"/>
            </w:pPr>
            <w:r>
              <w:rPr>
                <w:rFonts w:ascii="Arial" w:cs="Arial" w:eastAsia="Arial" w:hAnsi="Arial"/>
                <w:color w:val="C9A84C"/>
                <w:sz w:val="17"/>
                <w:szCs w:val="17"/>
              </w:rPr>
              <w:t xml:space="preserve">Unified Mentor  |  Mentored by Sai Prasad Kagne  |  Created by Lakshmi Mahitha Noudu  |  Version 1.0  |  April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jc w:val="center"/>
    </w:pPr>
    <w:r>
      <w:rPr>
        <w:rFonts w:ascii="Arial" w:cs="Arial" w:eastAsia="Arial" w:hAnsi="Arial"/>
        <w:color w:val="666666"/>
        <w:sz w:val="17"/>
        <w:szCs w:val="17"/>
      </w:rPr>
      <w:t xml:space="preserve">Created by Lakshmi Mahitha Noudu  |  Mentored by Sai Prasad Kagne  |  Unified Mentor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2"/>
      </w:pBdr>
      <w:jc w:val="center"/>
    </w:pPr>
    <w:r>
      <w:rPr>
        <w:rFonts w:ascii="Arial" w:cs="Arial" w:eastAsia="Arial" w:hAnsi="Arial"/>
        <w:color w:val="1F3864"/>
        <w:sz w:val="18"/>
        <w:szCs w:val="18"/>
      </w:rPr>
      <w:t xml:space="preserve">European Bank  |  Customer Retention Intelligence — Executive Summary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2026-04-24T11:36:23.353Z</dcterms:created>
  <dcterms:modified xsi:type="dcterms:W3CDTF">2026-04-24T11:36:23.354Z</dcterms:modified>
</cp:coreProperties>
</file>

<file path=docProps/custom.xml><?xml version="1.0" encoding="utf-8"?>
<Properties xmlns="http://schemas.openxmlformats.org/officeDocument/2006/custom-properties" xmlns:vt="http://schemas.openxmlformats.org/officeDocument/2006/docPropsVTypes"/>
</file>