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EUROPEAN BANK</w:t>
            </w:r>
          </w:p>
          <w:p>
            <w:pPr>
              <w:spacing w:before="100"/>
              <w:jc w:val="center"/>
            </w:pPr>
            <w:r>
              <w:rPr>
                <w:rFonts w:ascii="Arial" w:cs="Arial" w:eastAsia="Arial" w:hAnsi="Arial"/>
                <w:i/>
                <w:iCs/>
                <w:color w:val="C9A84C"/>
                <w:sz w:val="30"/>
                <w:szCs w:val="30"/>
              </w:rPr>
              <w:t xml:space="preserve">Customer Engagement &amp; Product Utilization</w:t>
            </w:r>
          </w:p>
          <w:p>
            <w:pPr>
              <w:spacing w:before="80"/>
              <w:jc w:val="center"/>
            </w:pPr>
            <w:r>
              <w:rPr>
                <w:rFonts w:ascii="Arial" w:cs="Arial" w:eastAsia="Arial" w:hAnsi="Arial"/>
                <w:i/>
                <w:iCs/>
                <w:color w:val="C9A84C"/>
                <w:sz w:val="28"/>
                <w:szCs w:val="28"/>
              </w:rPr>
              <w:t xml:space="preserve">Analytics for Retention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bCs/>
                <w:color w:val="1F3864"/>
                <w:sz w:val="20"/>
                <w:szCs w:val="20"/>
              </w:rPr>
              <w:t xml:space="preserve">Submitted By</w:t>
            </w:r>
          </w:p>
          <w:p>
            <w:r>
              <w:rPr>
                <w:rFonts w:ascii="Arial" w:cs="Arial" w:eastAsia="Arial" w:hAnsi="Arial"/>
                <w:sz w:val="20"/>
                <w:szCs w:val="20"/>
              </w:rPr>
              <w:t xml:space="preserve">Lakshmi Mahitha Noudu</w:t>
            </w:r>
          </w:p>
          <w:p>
            <w:r>
              <w:rPr>
                <w:rFonts w:ascii="Arial" w:cs="Arial" w:eastAsia="Arial" w:hAnsi="Arial"/>
                <w:color w:val="666666"/>
                <w:sz w:val="18"/>
                <w:szCs w:val="18"/>
              </w:rPr>
              <w:t xml:space="preserve">Data Analyst Intern — Finance Analytics</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bCs/>
                <w:color w:val="1F3864"/>
                <w:sz w:val="20"/>
                <w:szCs w:val="20"/>
              </w:rPr>
              <w:t xml:space="preserve">Organization &amp; Mentor</w:t>
            </w:r>
          </w:p>
          <w:p>
            <w:r>
              <w:rPr>
                <w:rFonts w:ascii="Arial" w:cs="Arial" w:eastAsia="Arial" w:hAnsi="Arial"/>
                <w:sz w:val="20"/>
                <w:szCs w:val="20"/>
              </w:rPr>
              <w:t xml:space="preserve">Unified Mentor</w:t>
            </w:r>
          </w:p>
          <w:p>
            <w:r>
              <w:rPr>
                <w:rFonts w:ascii="Arial" w:cs="Arial" w:eastAsia="Arial" w:hAnsi="Arial"/>
                <w:color w:val="666666"/>
                <w:sz w:val="18"/>
                <w:szCs w:val="18"/>
              </w:rPr>
              <w:t xml:space="preserve">Mentor: Sai Prasad Kagne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Submission Date</w:t>
            </w:r>
          </w:p>
          <w:p>
            <w:r>
              <w:rPr>
                <w:rFonts w:ascii="Arial" w:cs="Arial" w:eastAsia="Arial" w:hAnsi="Arial"/>
                <w:sz w:val="20"/>
                <w:szCs w:val="20"/>
              </w:rPr>
              <w:t xml:space="preserve">April 2026</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Dashboard Version</w:t>
            </w:r>
          </w:p>
          <w:p>
            <w:r>
              <w:rPr>
                <w:rFonts w:ascii="Arial" w:cs="Arial" w:eastAsia="Arial" w:hAnsi="Arial"/>
                <w:sz w:val="18"/>
                <w:szCs w:val="18"/>
              </w:rPr>
              <w:t xml:space="preserve">Version 1.0  |  April 2026</w:t>
            </w:r>
          </w:p>
        </w:tc>
      </w:tr>
    </w:tbl>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F0" w:val="clear"/>
            <w:tcMar>
              <w:top w:type="dxa" w:w="150"/>
              <w:left w:type="dxa" w:w="200"/>
              <w:bottom w:type="dxa" w:w="150"/>
              <w:right w:type="dxa" w:w="200"/>
            </w:tcMar>
          </w:tcPr>
          <w:p>
            <w:r>
              <w:rPr>
                <w:rFonts w:ascii="Arial" w:cs="Arial" w:eastAsia="Arial" w:hAnsi="Arial"/>
                <w:b/>
                <w:bCs/>
                <w:color w:val="1F3864"/>
                <w:sz w:val="22"/>
                <w:szCs w:val="22"/>
              </w:rPr>
              <w:t xml:space="preserve">ABSTRACT</w:t>
            </w:r>
          </w:p>
          <w:p>
            <w:pPr>
              <w:spacing w:before="60"/>
            </w:pPr>
            <w:r>
              <w:t xml:space="preserve"/>
            </w:r>
          </w:p>
          <w:p>
            <w:pPr>
              <w:jc w:val="both"/>
            </w:pPr>
            <w:r>
              <w:rPr>
                <w:rFonts w:ascii="Times New Roman" w:cs="Times New Roman" w:eastAsia="Times New Roman" w:hAnsi="Times New Roman"/>
                <w:i/>
                <w:iCs/>
                <w:sz w:val="19"/>
                <w:szCs w:val="19"/>
              </w:rPr>
              <w:t xml:space="preserve">This report presents a comprehensive customer engagement and retention analysis for a European Bank using 10,000 customer records. The study examines churn patterns across engagement profiles, product utilization depth, geographic distribution, demographic segments, and relationship strength indicators. Key findings reveal a 20.37% overall churn rate, with Germany recording the highest at 32.4%, customers with 3-4 products churning at 83-100%, and 1,247 high-balance inactive customers identified as premium churn risk. An interactive Streamlit dashboard and strategic retention recommendations are provided to support data-driven customer relationship management.</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Bdr>
          <w:bottom w:val="single" w:color="1F3864" w:sz="4" w:space="2"/>
        </w:pBdr>
        <w:spacing w:after="80" w:before="160"/>
      </w:pPr>
      <w:r>
        <w:rPr>
          <w:rFonts w:ascii="Arial" w:cs="Arial" w:eastAsia="Arial" w:hAnsi="Arial"/>
          <w:b/>
          <w:bCs/>
          <w:color w:val="1F3864"/>
          <w:sz w:val="22"/>
          <w:szCs w:val="22"/>
        </w:rPr>
        <w:t xml:space="preserve">1. INTRODUCTION</w:t>
      </w:r>
    </w:p>
    <w:p>
      <w:pPr>
        <w:spacing w:after="50" w:before="50"/>
        <w:jc w:val="both"/>
      </w:pPr>
      <w:r>
        <w:rPr>
          <w:rFonts w:ascii="Times New Roman" w:cs="Times New Roman" w:eastAsia="Times New Roman" w:hAnsi="Times New Roman"/>
          <w:sz w:val="19"/>
          <w:szCs w:val="19"/>
        </w:rPr>
        <w:t xml:space="preserve">European banks increasingly recognize that customer behavior and engagement — not just demographics — determine long-term retention. Customers may appear financially strong (high balance or salary) but still churn due to low engagement, limited product adoption, or weak relationship depth. This project evaluates customer retention through the lens of behavioral analytics and relationship strength.</w:t>
      </w:r>
    </w:p>
    <w:p>
      <w:pPr>
        <w:spacing w:after="40" w:before="40"/>
      </w:pPr>
      <w:r>
        <w:t xml:space="preserve"/>
      </w:r>
    </w:p>
    <w:p>
      <w:pPr>
        <w:spacing w:after="50" w:before="50"/>
        <w:jc w:val="both"/>
      </w:pPr>
      <w:r>
        <w:rPr>
          <w:rFonts w:ascii="Times New Roman" w:cs="Times New Roman" w:eastAsia="Times New Roman" w:hAnsi="Times New Roman"/>
          <w:sz w:val="19"/>
          <w:szCs w:val="19"/>
        </w:rPr>
        <w:t xml:space="preserve">The deliverable is an interactive Streamlit dashboard (bank_app.py, Version 1.0) providing 4 analytical pages, supported by this research paper and an executive summary, submitted as part of a Data Analyst Internship at Unified Mentor under the Finance Analytics domain.</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2. PROBLEM STATEMENT</w:t>
      </w:r>
    </w:p>
    <w:p>
      <w:pPr>
        <w:spacing w:after="50" w:before="50"/>
        <w:jc w:val="both"/>
      </w:pPr>
      <w:r>
        <w:rPr>
          <w:rFonts w:ascii="Times New Roman" w:cs="Times New Roman" w:eastAsia="Times New Roman" w:hAnsi="Times New Roman"/>
          <w:sz w:val="19"/>
          <w:szCs w:val="19"/>
        </w:rPr>
        <w:t xml:space="preserve">Despite having data on customer engagement and product usage, banks often lack quantitative insight into which behaviors drive retention, clarity on whether product depth reduces churn, and evidence on whether high balances alone ensure loyalty. This project addresses all three gaps.</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Which engagement profiles are most at risk of churning?</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Does product depth (number of products) reduce churn?</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Which demographic and geographic segments need urgent retention action?</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Who are the high-value customers silently at risk of leaving?</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3. DATASET DESCRIPTION</w:t>
      </w:r>
    </w:p>
    <w:p>
      <w:pPr>
        <w:spacing w:after="50" w:before="50"/>
        <w:jc w:val="both"/>
      </w:pPr>
      <w:r>
        <w:rPr>
          <w:rFonts w:ascii="Times New Roman" w:cs="Times New Roman" w:eastAsia="Times New Roman" w:hAnsi="Times New Roman"/>
          <w:sz w:val="19"/>
          <w:szCs w:val="19"/>
        </w:rPr>
        <w:t xml:space="preserve">The dataset contains 10,000 customer records with 14 attributes sourced from the European Central Bank via Unified Mentor. It covers customer creditworthiness, geography, demographics, product usage, engagement status, and churn outcome.</w:t>
      </w:r>
    </w:p>
    <w:p>
      <w:pPr>
        <w:spacing w:after="40" w:before="40"/>
      </w:pPr>
      <w:r>
        <w:t xml:space="preserve"/>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tblGrid>
      <w:tr>
        <w:tc>
          <w:tcPr>
            <w:tcW w:type="dxa" w:w="22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Attribute</w:t>
            </w:r>
          </w:p>
        </w:tc>
        <w:tc>
          <w:tcPr>
            <w:tcW w:type="dxa" w:w="19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Total Records</w:t>
            </w:r>
          </w:p>
        </w:tc>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10,000</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Total Columns</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14</w:t>
            </w:r>
          </w:p>
        </w:tc>
      </w:tr>
      <w:tr>
        <w:tc>
          <w:tcPr>
            <w:tcW w:type="dxa" w:w="2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Countries</w:t>
            </w:r>
          </w:p>
        </w:tc>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3</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Target Variable</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Exited (0/1)</w:t>
            </w:r>
          </w:p>
        </w:tc>
      </w:tr>
      <w:tr>
        <w:tc>
          <w:tcPr>
            <w:tcW w:type="dxa" w:w="2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Churned</w:t>
            </w:r>
          </w:p>
        </w:tc>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C0392B"/>
                <w:sz w:val="18"/>
                <w:szCs w:val="18"/>
              </w:rPr>
              <w:t xml:space="preserve">2,037</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Retained</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27AE60"/>
                <w:sz w:val="18"/>
                <w:szCs w:val="18"/>
              </w:rPr>
              <w:t xml:space="preserve">7,963</w:t>
            </w:r>
          </w:p>
        </w:tc>
      </w:tr>
      <w:tr>
        <w:tc>
          <w:tcPr>
            <w:tcW w:type="dxa" w:w="2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Missing Values</w:t>
            </w:r>
          </w:p>
        </w:tc>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27AE60"/>
                <w:sz w:val="18"/>
                <w:szCs w:val="18"/>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Duplicates</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27AE60"/>
                <w:sz w:val="18"/>
                <w:szCs w:val="18"/>
              </w:rPr>
              <w:t xml:space="preserve">0</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4. FEATURE ENGINEERING</w:t>
      </w:r>
    </w:p>
    <w:p>
      <w:pPr>
        <w:spacing w:after="50" w:before="100"/>
      </w:pPr>
      <w:r>
        <w:rPr>
          <w:rFonts w:ascii="Arial" w:cs="Arial" w:eastAsia="Arial" w:hAnsi="Arial"/>
          <w:b/>
          <w:bCs/>
          <w:color w:val="2E75B6"/>
          <w:sz w:val="20"/>
          <w:szCs w:val="20"/>
        </w:rPr>
        <w:t xml:space="preserve">4.1 Engagement Profiles</w:t>
      </w:r>
    </w:p>
    <w:p>
      <w:pPr>
        <w:spacing w:after="50" w:before="50"/>
        <w:jc w:val="both"/>
      </w:pPr>
      <w:r>
        <w:rPr>
          <w:rFonts w:ascii="Times New Roman" w:cs="Times New Roman" w:eastAsia="Times New Roman" w:hAnsi="Times New Roman"/>
          <w:sz w:val="19"/>
          <w:szCs w:val="19"/>
        </w:rPr>
        <w:t xml:space="preserve">Four engagement profiles were created based on IsActiveMember and NumOfProducts to classify customers into behaviorally distinct segments:</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Active Engaged</w:t>
      </w:r>
      <w:r>
        <w:rPr>
          <w:rFonts w:ascii="Times New Roman" w:cs="Times New Roman" w:eastAsia="Times New Roman" w:hAnsi="Times New Roman"/>
          <w:b w:val="false"/>
          <w:bCs w:val="false"/>
          <w:sz w:val="19"/>
          <w:szCs w:val="19"/>
        </w:rPr>
        <w:t xml:space="preserve"> — IsActiveMember=1 AND NumOfProducts≥2 (2,588 customers)</w:t>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Active Low-Product</w:t>
      </w:r>
      <w:r>
        <w:rPr>
          <w:rFonts w:ascii="Times New Roman" w:cs="Times New Roman" w:eastAsia="Times New Roman" w:hAnsi="Times New Roman"/>
          <w:b w:val="false"/>
          <w:bCs w:val="false"/>
          <w:sz w:val="19"/>
          <w:szCs w:val="19"/>
        </w:rPr>
        <w:t xml:space="preserve"> — IsActiveMember=1 AND NumOfProducts=1 (2,563 customers)</w:t>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Inactive High-Balance</w:t>
      </w:r>
      <w:r>
        <w:rPr>
          <w:rFonts w:ascii="Times New Roman" w:cs="Times New Roman" w:eastAsia="Times New Roman" w:hAnsi="Times New Roman"/>
          <w:b w:val="false"/>
          <w:bCs w:val="false"/>
          <w:sz w:val="19"/>
          <w:szCs w:val="19"/>
        </w:rPr>
        <w:t xml:space="preserve"> — IsActiveMember=0 AND Balance &gt; median (2,456 customers)</w:t>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Inactive Disengaged</w:t>
      </w:r>
      <w:r>
        <w:rPr>
          <w:rFonts w:ascii="Times New Roman" w:cs="Times New Roman" w:eastAsia="Times New Roman" w:hAnsi="Times New Roman"/>
          <w:b w:val="false"/>
          <w:bCs w:val="false"/>
          <w:sz w:val="19"/>
          <w:szCs w:val="19"/>
        </w:rPr>
        <w:t xml:space="preserve"> — IsActiveMember=0 AND NumOfProducts≤1 (878 customers)</w:t>
      </w:r>
    </w:p>
    <w:p>
      <w:pPr>
        <w:spacing w:after="40" w:before="40"/>
      </w:pPr>
      <w:r>
        <w:t xml:space="preserve"/>
      </w:r>
    </w:p>
    <w:p>
      <w:pPr>
        <w:spacing w:after="50" w:before="100"/>
      </w:pPr>
      <w:r>
        <w:rPr>
          <w:rFonts w:ascii="Arial" w:cs="Arial" w:eastAsia="Arial" w:hAnsi="Arial"/>
          <w:b/>
          <w:bCs/>
          <w:color w:val="2E75B6"/>
          <w:sz w:val="20"/>
          <w:szCs w:val="20"/>
        </w:rPr>
        <w:t xml:space="preserve">4.2 Relationship Strength Index (RSI)</w:t>
      </w:r>
    </w:p>
    <w:p>
      <w:pPr>
        <w:spacing w:after="50" w:before="50"/>
        <w:jc w:val="both"/>
      </w:pPr>
      <w:r>
        <w:rPr>
          <w:rFonts w:ascii="Times New Roman" w:cs="Times New Roman" w:eastAsia="Times New Roman" w:hAnsi="Times New Roman"/>
          <w:sz w:val="19"/>
          <w:szCs w:val="19"/>
        </w:rPr>
        <w:t xml:space="preserve">A weighted composite score (0–1) measuring overall customer relationship depth:</w:t>
      </w:r>
    </w:p>
    <w:p>
      <w:pPr>
        <w:spacing w:after="40" w:before="40"/>
      </w:pPr>
      <w:r>
        <w:t xml:space="preserve"/>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800"/>
      </w:tblGrid>
      <w:tr>
        <w:tc>
          <w:tcPr>
            <w:tcW w:type="dxa" w:w="25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Factor</w:t>
            </w:r>
          </w:p>
        </w:tc>
        <w:tc>
          <w:tcPr>
            <w:tcW w:type="dxa" w:w="8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Weight</w:t>
            </w:r>
          </w:p>
        </w:tc>
        <w:tc>
          <w:tcPr>
            <w:tcW w:type="dxa" w:w="8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Rationale</w:t>
            </w:r>
          </w:p>
        </w:tc>
      </w:tr>
      <w:tr>
        <w:tc>
          <w:tcPr>
            <w:tcW w:type="dxa" w:w="25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IsActiveMember</w:t>
            </w:r>
          </w:p>
        </w:tc>
        <w:tc>
          <w:tcPr>
            <w:tcW w:type="dxa" w:w="8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Strongest signal</w:t>
            </w:r>
          </w:p>
        </w:tc>
      </w:tr>
      <w:tr>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NumOfProducts/max</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Product depth</w:t>
            </w:r>
          </w:p>
        </w:tc>
      </w:tr>
      <w:tr>
        <w:tc>
          <w:tcPr>
            <w:tcW w:type="dxa" w:w="25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Tenure/max</w:t>
            </w:r>
          </w:p>
        </w:tc>
        <w:tc>
          <w:tcPr>
            <w:tcW w:type="dxa" w:w="8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000000"/>
                <w:sz w:val="18"/>
                <w:szCs w:val="18"/>
              </w:rPr>
              <w:t xml:space="preserve">20%</w:t>
            </w:r>
          </w:p>
        </w:tc>
        <w:tc>
          <w:tcPr>
            <w:tcW w:type="dxa" w:w="8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Loyalty years</w:t>
            </w:r>
          </w:p>
        </w:tc>
      </w:tr>
      <w:tr>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HasCrCard</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Card stickiness</w:t>
            </w:r>
          </w:p>
        </w:tc>
      </w:tr>
    </w:tbl>
    <w:p>
      <w:pPr>
        <w:spacing w:after="40" w:before="40"/>
      </w:pPr>
      <w:r>
        <w:t xml:space="preserve"/>
      </w:r>
    </w:p>
    <w:p>
      <w:pPr>
        <w:spacing w:after="50" w:before="100"/>
      </w:pPr>
      <w:r>
        <w:rPr>
          <w:rFonts w:ascii="Arial" w:cs="Arial" w:eastAsia="Arial" w:hAnsi="Arial"/>
          <w:b/>
          <w:bCs/>
          <w:color w:val="2E75B6"/>
          <w:sz w:val="20"/>
          <w:szCs w:val="20"/>
        </w:rPr>
        <w:t xml:space="preserve">4.3 At-Risk Premium Flag</w:t>
      </w:r>
    </w:p>
    <w:p>
      <w:pPr>
        <w:spacing w:after="50" w:before="50"/>
        <w:jc w:val="both"/>
      </w:pPr>
      <w:r>
        <w:rPr>
          <w:rFonts w:ascii="Times New Roman" w:cs="Times New Roman" w:eastAsia="Times New Roman" w:hAnsi="Times New Roman"/>
          <w:b w:val="false"/>
          <w:bCs w:val="false"/>
          <w:sz w:val="19"/>
          <w:szCs w:val="19"/>
        </w:rPr>
        <w:t xml:space="preserve">AtRiskPremium</w:t>
      </w:r>
      <w:r>
        <w:rPr>
          <w:rFonts w:ascii="Times New Roman" w:cs="Times New Roman" w:eastAsia="Times New Roman" w:hAnsi="Times New Roman"/>
          <w:b w:val="false"/>
          <w:bCs w:val="false"/>
          <w:sz w:val="19"/>
          <w:szCs w:val="19"/>
        </w:rPr>
        <w:t xml:space="preserve"> = 1 when Balance &gt; €127,644 (Q75) AND IsActiveMember = 0. This identifies </w:t>
      </w:r>
      <w:r>
        <w:rPr>
          <w:rFonts w:ascii="Times New Roman" w:cs="Times New Roman" w:eastAsia="Times New Roman" w:hAnsi="Times New Roman"/>
          <w:b/>
          <w:bCs/>
          <w:sz w:val="19"/>
          <w:szCs w:val="19"/>
        </w:rPr>
        <w:t xml:space="preserve">1,247 high-value silent churners</w:t>
      </w:r>
      <w:r>
        <w:rPr>
          <w:rFonts w:ascii="Times New Roman" w:cs="Times New Roman" w:eastAsia="Times New Roman" w:hAnsi="Times New Roman"/>
          <w:b w:val="false"/>
          <w:bCs w:val="false"/>
          <w:sz w:val="19"/>
          <w:szCs w:val="19"/>
        </w:rPr>
        <w:t xml:space="preserve"> — customers with significant financial commitment but zero engagement.</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5. KPI SUMMARY</w:t>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tblGrid>
      <w:tr>
        <w:tc>
          <w:tcPr>
            <w:tcW w:type="dxa" w:w="24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KPI</w:t>
            </w:r>
          </w:p>
        </w:tc>
        <w:tc>
          <w:tcPr>
            <w:tcW w:type="dxa" w:w="17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Overall Churn Rate</w:t>
            </w:r>
          </w:p>
        </w:tc>
        <w:tc>
          <w:tcPr>
            <w:tcW w:type="dxa" w:w="17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C0392B"/>
                <w:sz w:val="18"/>
                <w:szCs w:val="18"/>
              </w:rPr>
              <w:t xml:space="preserve">20.37%</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Engagement Retention Ratio</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14.3% vs 26.9%</w:t>
            </w:r>
          </w:p>
        </w:tc>
      </w:tr>
      <w:tr>
        <w:tc>
          <w:tcPr>
            <w:tcW w:type="dxa" w:w="24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Product Depth Index</w:t>
            </w:r>
          </w:p>
        </w:tc>
        <w:tc>
          <w:tcPr>
            <w:tcW w:type="dxa" w:w="17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27AE60"/>
                <w:sz w:val="18"/>
                <w:szCs w:val="18"/>
              </w:rPr>
              <w:t xml:space="preserve">2 products = 7.6%</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High-Balance Disengagement</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C0392B"/>
                <w:sz w:val="18"/>
                <w:szCs w:val="18"/>
              </w:rPr>
              <w:t xml:space="preserve">1,247 customers</w:t>
            </w:r>
          </w:p>
        </w:tc>
      </w:tr>
      <w:tr>
        <w:tc>
          <w:tcPr>
            <w:tcW w:type="dxa" w:w="24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Credit Card Stickiness</w:t>
            </w:r>
          </w:p>
        </w:tc>
        <w:tc>
          <w:tcPr>
            <w:tcW w:type="dxa" w:w="17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20.2% vs 20.8%</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Avg RSI Score</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0.492 / 1.000</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6. CHURN OVERVIEW ANALYSIS</w:t>
      </w:r>
    </w:p>
    <w:p>
      <w:pPr>
        <w:spacing w:after="50" w:before="50"/>
        <w:jc w:val="both"/>
      </w:pPr>
      <w:r>
        <w:rPr>
          <w:rFonts w:ascii="Times New Roman" w:cs="Times New Roman" w:eastAsia="Times New Roman" w:hAnsi="Times New Roman"/>
          <w:sz w:val="19"/>
          <w:szCs w:val="19"/>
        </w:rPr>
        <w:t xml:space="preserve">Figure 1 shows the overall churn distribution and geographic breakdown. The bank faces a 20.37% churn rate, meaning 1 in 5 customers leaves. Germany records the highest churn at 32.4% — nearly double that of France (16.2%) and Spain (16.7%).</w:t>
      </w:r>
    </w:p>
    <w:p>
      <w:pPr>
        <w:spacing w:after="40" w:before="40"/>
      </w:pPr>
      <w:r>
        <w:t xml:space="preserve"/>
      </w:r>
    </w:p>
    <w:p>
      <w:pPr>
        <w:spacing w:after="15" w:before="50"/>
        <w:jc w:val="center"/>
      </w:pPr>
      <w:r>
        <w:drawing>
          <wp:inline distT="0" distB="0" distL="0" distR="0">
            <wp:extent cx="3124200" cy="1362075"/>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24200" cy="13620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1: Overall Churn Distribution (left) and Churn Rate by Geography (right)</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7. ENGAGEMENT PROFILE ANALYSIS</w:t>
      </w:r>
    </w:p>
    <w:p>
      <w:pPr>
        <w:spacing w:after="50" w:before="50"/>
        <w:jc w:val="both"/>
      </w:pPr>
      <w:r>
        <w:rPr>
          <w:rFonts w:ascii="Times New Roman" w:cs="Times New Roman" w:eastAsia="Times New Roman" w:hAnsi="Times New Roman"/>
          <w:sz w:val="19"/>
          <w:szCs w:val="19"/>
        </w:rPr>
        <w:t xml:space="preserve">Figure 2 reveals that engagement profile is a strong predictor of churn. Inactive Disengaged customers churn at the highest rate while Active Engaged customers show the lowest churn, confirming that both activity status and product depth jointly determine retention outcomes.</w:t>
      </w:r>
    </w:p>
    <w:p>
      <w:pPr>
        <w:spacing w:after="40" w:before="40"/>
      </w:pPr>
      <w:r>
        <w:t xml:space="preserve"/>
      </w:r>
    </w:p>
    <w:p>
      <w:pPr>
        <w:spacing w:after="15" w:before="50"/>
        <w:jc w:val="center"/>
      </w:pPr>
      <w:r>
        <w:drawing>
          <wp:inline distT="0" distB="0" distL="0" distR="0">
            <wp:extent cx="3124200" cy="1400175"/>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24200" cy="14001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2: Churn Rate by Engagement Profile — green = below average, red = above average</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8. PRODUCT UTILIZATION ANALYSIS</w:t>
      </w:r>
    </w:p>
    <w:p>
      <w:pPr>
        <w:spacing w:after="50" w:before="100"/>
      </w:pPr>
      <w:r>
        <w:rPr>
          <w:rFonts w:ascii="Arial" w:cs="Arial" w:eastAsia="Arial" w:hAnsi="Arial"/>
          <w:b/>
          <w:bCs/>
          <w:color w:val="2E75B6"/>
          <w:sz w:val="20"/>
          <w:szCs w:val="20"/>
        </w:rPr>
        <w:t xml:space="preserve">8.1 Churn by Product Count</w:t>
      </w:r>
    </w:p>
    <w:p>
      <w:pPr>
        <w:spacing w:after="50" w:before="50"/>
        <w:jc w:val="both"/>
      </w:pPr>
      <w:r>
        <w:rPr>
          <w:rFonts w:ascii="Times New Roman" w:cs="Times New Roman" w:eastAsia="Times New Roman" w:hAnsi="Times New Roman"/>
          <w:sz w:val="19"/>
          <w:szCs w:val="19"/>
        </w:rPr>
        <w:t xml:space="preserve">Figure 3 reveals a non-linear relationship between product count and churn. Two-product customers have the lowest churn at 7.6%, while customers with 3 or 4 products churn at alarming rates of 82.7% and 100% respectively. This suggests that product over-bundling without engagement creates extreme churn risk.</w:t>
      </w:r>
    </w:p>
    <w:p>
      <w:pPr>
        <w:spacing w:after="40" w:before="40"/>
      </w:pPr>
      <w:r>
        <w:t xml:space="preserve"/>
      </w:r>
    </w:p>
    <w:p>
      <w:pPr>
        <w:spacing w:after="15" w:before="50"/>
        <w:jc w:val="center"/>
      </w:pPr>
      <w:r>
        <w:drawing>
          <wp:inline distT="0" distB="0" distL="0" distR="0">
            <wp:extent cx="3124200" cy="1276350"/>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24200" cy="1276350"/>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3: Churn Rate (left) and Customer Count (right) by Number of Products</w:t>
      </w:r>
    </w:p>
    <w:p>
      <w:pPr>
        <w:spacing w:after="40" w:before="40"/>
      </w:pPr>
      <w:r>
        <w:t xml:space="preserve"/>
      </w:r>
    </w:p>
    <w:p>
      <w:pPr>
        <w:spacing w:after="50" w:before="100"/>
      </w:pPr>
      <w:r>
        <w:rPr>
          <w:rFonts w:ascii="Arial" w:cs="Arial" w:eastAsia="Arial" w:hAnsi="Arial"/>
          <w:b/>
          <w:bCs/>
          <w:color w:val="2E75B6"/>
          <w:sz w:val="20"/>
          <w:szCs w:val="20"/>
        </w:rPr>
        <w:t xml:space="preserve">8.2 Active vs Inactive &amp; Credit Card</w:t>
      </w:r>
    </w:p>
    <w:p>
      <w:pPr>
        <w:spacing w:after="50" w:before="50"/>
        <w:jc w:val="both"/>
      </w:pPr>
      <w:r>
        <w:rPr>
          <w:rFonts w:ascii="Times New Roman" w:cs="Times New Roman" w:eastAsia="Times New Roman" w:hAnsi="Times New Roman"/>
          <w:sz w:val="19"/>
          <w:szCs w:val="19"/>
        </w:rPr>
        <w:t xml:space="preserve">Figure 4 confirms that inactive members churn at 26.9% versus 14.3% for active members — a gap of 12.6 percentage points. Credit card ownership shows minimal differentiation (20.2% vs 20.8%), indicating it is a weak retention signal on its own.</w:t>
      </w:r>
    </w:p>
    <w:p>
      <w:pPr>
        <w:spacing w:after="40" w:before="40"/>
      </w:pPr>
      <w:r>
        <w:t xml:space="preserve"/>
      </w:r>
    </w:p>
    <w:p>
      <w:pPr>
        <w:spacing w:after="15" w:before="50"/>
        <w:jc w:val="center"/>
      </w:pPr>
      <w:r>
        <w:drawing>
          <wp:inline distT="0" distB="0" distL="0" distR="0">
            <wp:extent cx="3124200" cy="1285875"/>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24200" cy="12858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4: Churn Rate by Member Activity Status (left) and Credit Card Ownership (right)</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9. FINANCIAL COMMITMENT ANALYSIS</w:t>
      </w:r>
    </w:p>
    <w:p>
      <w:pPr>
        <w:spacing w:after="50" w:before="50"/>
        <w:jc w:val="both"/>
      </w:pPr>
      <w:r>
        <w:rPr>
          <w:rFonts w:ascii="Times New Roman" w:cs="Times New Roman" w:eastAsia="Times New Roman" w:hAnsi="Times New Roman"/>
          <w:sz w:val="19"/>
          <w:szCs w:val="19"/>
        </w:rPr>
        <w:t xml:space="preserve">Figure 5 shows that churned customers tend to have mid-to-high balances — contrary to the expectation that high-balance customers are loyal. This reveals a dangerous pattern: financially committed but disengaged customers who leave silently.</w:t>
      </w:r>
    </w:p>
    <w:p>
      <w:pPr>
        <w:spacing w:after="40" w:before="40"/>
      </w:pPr>
      <w:r>
        <w:t xml:space="preserve"/>
      </w:r>
    </w:p>
    <w:p>
      <w:pPr>
        <w:spacing w:after="15" w:before="50"/>
        <w:jc w:val="center"/>
      </w:pPr>
      <w:r>
        <w:drawing>
          <wp:inline distT="0" distB="0" distL="0" distR="0">
            <wp:extent cx="3124200" cy="1276350"/>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24200" cy="1276350"/>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5: Balance Distribution by Churn Status (left) and Churn Rate by Balance Tier (right)</w:t>
      </w:r>
    </w:p>
    <w:p>
      <w:pPr>
        <w:spacing w:after="40" w:before="40"/>
      </w:pPr>
      <w:r>
        <w:t xml:space="preserve"/>
      </w:r>
    </w:p>
    <w:p>
      <w:pPr>
        <w:spacing w:after="50" w:before="50"/>
        <w:jc w:val="both"/>
      </w:pPr>
      <w:r>
        <w:rPr>
          <w:rFonts w:ascii="Times New Roman" w:cs="Times New Roman" w:eastAsia="Times New Roman" w:hAnsi="Times New Roman"/>
          <w:sz w:val="19"/>
          <w:szCs w:val="19"/>
        </w:rPr>
        <w:t xml:space="preserve">Figure 9 further isolates the 1,247 at-risk premium customers (Balance &gt; €127,644 and inactive) who churn at 32.2% — 12 percentage points above the average. These customers represent the highest financial risk to the bank.</w:t>
      </w:r>
    </w:p>
    <w:p>
      <w:pPr>
        <w:spacing w:after="40" w:before="40"/>
      </w:pPr>
      <w:r>
        <w:t xml:space="preserve"/>
      </w:r>
    </w:p>
    <w:p>
      <w:pPr>
        <w:spacing w:after="15" w:before="50"/>
        <w:jc w:val="center"/>
      </w:pPr>
      <w:r>
        <w:drawing>
          <wp:inline distT="0" distB="0" distL="0" distR="0">
            <wp:extent cx="3124200" cy="1343025"/>
            <wp:effectExtent t="0" r="0" b="0" l="0"/>
            <wp:docPr id="1" name="Figure 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24200" cy="134302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9: At-Risk Premium Customers by Geography (left) and vs Regular Churn Rate (right)</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10. GEOGRAPHIC HEATMAP</w:t>
      </w:r>
    </w:p>
    <w:p>
      <w:pPr>
        <w:spacing w:after="50" w:before="50"/>
        <w:jc w:val="both"/>
      </w:pPr>
      <w:r>
        <w:rPr>
          <w:rFonts w:ascii="Times New Roman" w:cs="Times New Roman" w:eastAsia="Times New Roman" w:hAnsi="Times New Roman"/>
          <w:sz w:val="19"/>
          <w:szCs w:val="19"/>
        </w:rPr>
        <w:t xml:space="preserve">Figure 7 shows the Geography × Products heatmap. Germany consistently records higher churn rates across all product counts. Notably, 3-product customers churn at 100% in Spain and extremely high rates across all countries, confirming product over-bundling as a cross-geographic risk.</w:t>
      </w:r>
    </w:p>
    <w:p>
      <w:pPr>
        <w:spacing w:after="40" w:before="40"/>
      </w:pPr>
      <w:r>
        <w:t xml:space="preserve"/>
      </w:r>
    </w:p>
    <w:p>
      <w:pPr>
        <w:spacing w:after="15" w:before="50"/>
        <w:jc w:val="center"/>
      </w:pPr>
      <w:r>
        <w:drawing>
          <wp:inline distT="0" distB="0" distL="0" distR="0">
            <wp:extent cx="3124200" cy="1819275"/>
            <wp:effectExtent t="0" r="0" b="0" l="0"/>
            <wp:docPr id="1"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24200" cy="18192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7: Churn Rate Heatmap — Geography × Number of Products</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11. DEMOGRAPHIC ANALYSIS</w:t>
      </w:r>
    </w:p>
    <w:p>
      <w:pPr>
        <w:spacing w:after="50" w:before="50"/>
        <w:jc w:val="both"/>
      </w:pPr>
      <w:r>
        <w:rPr>
          <w:rFonts w:ascii="Times New Roman" w:cs="Times New Roman" w:eastAsia="Times New Roman" w:hAnsi="Times New Roman"/>
          <w:sz w:val="19"/>
          <w:szCs w:val="19"/>
        </w:rPr>
        <w:t xml:space="preserve">Figure 6 shows that the 51-60 age group has the highest churn at 56.2%, followed by the 60+ group at 24.8%. Younger customers (18-30) churn at only 7.5%, suggesting strong early-stage loyalty. Female customers churn at 25.1% versus 16.5% for male customers — a significant 8.6 percentage point gap.</w:t>
      </w:r>
    </w:p>
    <w:p>
      <w:pPr>
        <w:spacing w:after="40" w:before="40"/>
      </w:pPr>
      <w:r>
        <w:t xml:space="preserve"/>
      </w:r>
    </w:p>
    <w:p>
      <w:pPr>
        <w:spacing w:after="15" w:before="50"/>
        <w:jc w:val="center"/>
      </w:pPr>
      <w:r>
        <w:drawing>
          <wp:inline distT="0" distB="0" distL="0" distR="0">
            <wp:extent cx="3124200" cy="1276350"/>
            <wp:effectExtent t="0" r="0" b="0" l="0"/>
            <wp:docPr id="1"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24200" cy="1276350"/>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6: Churn Rate by Age Group (left) and by Gender (right)</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12. RETENTION STRENGTH ANALYSIS</w:t>
      </w:r>
    </w:p>
    <w:p>
      <w:pPr>
        <w:spacing w:after="50" w:before="50"/>
        <w:jc w:val="both"/>
      </w:pPr>
      <w:r>
        <w:rPr>
          <w:rFonts w:ascii="Times New Roman" w:cs="Times New Roman" w:eastAsia="Times New Roman" w:hAnsi="Times New Roman"/>
          <w:sz w:val="19"/>
          <w:szCs w:val="19"/>
        </w:rPr>
        <w:t xml:space="preserve">Figure 8 shows the Relationship Strength Index (RSI) and tenure analysis. Customers with Very Weak RSI churn at significantly higher rates, while Strong and Very Strong RSI customers show below-average churn. Tenure shows no strong linear trend, indicating that years with the bank alone do not guarantee loyalty without active engagement.</w:t>
      </w:r>
    </w:p>
    <w:p>
      <w:pPr>
        <w:spacing w:after="40" w:before="40"/>
      </w:pPr>
      <w:r>
        <w:t xml:space="preserve"/>
      </w:r>
    </w:p>
    <w:p>
      <w:pPr>
        <w:spacing w:after="15" w:before="50"/>
        <w:jc w:val="center"/>
      </w:pPr>
      <w:r>
        <w:drawing>
          <wp:inline distT="0" distB="0" distL="0" distR="0">
            <wp:extent cx="3124200" cy="1276350"/>
            <wp:effectExtent t="0" r="0" b="0" l="0"/>
            <wp:docPr id="1" name="Figure 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24200" cy="1276350"/>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8: Churn by Relationship Strength Index (left) and by Tenure Years (right)</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13. DASHBOARD ARCHITECTURE</w:t>
      </w:r>
    </w:p>
    <w:p>
      <w:pPr>
        <w:spacing w:after="50" w:before="50"/>
        <w:jc w:val="both"/>
      </w:pPr>
      <w:r>
        <w:rPr>
          <w:rFonts w:ascii="Times New Roman" w:cs="Times New Roman" w:eastAsia="Times New Roman" w:hAnsi="Times New Roman"/>
          <w:sz w:val="19"/>
          <w:szCs w:val="19"/>
        </w:rPr>
        <w:t xml:space="preserve">The Streamlit dashboard (bank_app.py, Version 1.0) provides 4 interactive module pages with 6 real-time sidebar filters: Geography, Gender, Number of Products, Member Status, Min Balance slider, and Min Credit Score slider.</w:t>
      </w:r>
    </w:p>
    <w:p>
      <w:pPr>
        <w:spacing w:after="40" w:before="40"/>
      </w:pPr>
      <w:r>
        <w:t xml:space="preserve"/>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tblGrid>
      <w:tr>
        <w:tc>
          <w:tcPr>
            <w:tcW w:type="dxa" w:w="16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Page</w:t>
            </w:r>
          </w:p>
        </w:tc>
        <w:tc>
          <w:tcPr>
            <w:tcW w:type="dxa" w:w="25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Content</w:t>
            </w:r>
          </w:p>
        </w:tc>
      </w:tr>
      <w:tr>
        <w:tc>
          <w:tcPr>
            <w:tcW w:type="dxa" w:w="16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bCs/>
                <w:color w:val="000000"/>
                <w:sz w:val="18"/>
                <w:szCs w:val="18"/>
              </w:rPr>
              <w:t xml:space="preserve">Engagement Overview</w:t>
            </w:r>
          </w:p>
        </w:tc>
        <w:tc>
          <w:tcPr>
            <w:tcW w:type="dxa" w:w="25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Churn pie, geography bar, engagement profile chart, age group chart</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bCs/>
                <w:color w:val="000000"/>
                <w:sz w:val="18"/>
                <w:szCs w:val="18"/>
              </w:rPr>
              <w:t xml:space="preserve">Product Utilization</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Product count vs churn, customer distribution, active/inactive, heatmap</w:t>
            </w:r>
          </w:p>
        </w:tc>
      </w:tr>
      <w:tr>
        <w:tc>
          <w:tcPr>
            <w:tcW w:type="dxa" w:w="16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bCs/>
                <w:color w:val="000000"/>
                <w:sz w:val="18"/>
                <w:szCs w:val="18"/>
              </w:rPr>
              <w:t xml:space="preserve">High-Value Risk</w:t>
            </w:r>
          </w:p>
        </w:tc>
        <w:tc>
          <w:tcPr>
            <w:tcW w:type="dxa" w:w="25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Balance distribution, balance tier churn, at-risk table, CSV download</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bCs/>
                <w:color w:val="000000"/>
                <w:sz w:val="18"/>
                <w:szCs w:val="18"/>
              </w:rPr>
              <w:t xml:space="preserve">Retention Strength</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RSI scoring, tenure trend, credit card stickiness, credit score bands</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14. DATA LIMITATIONS</w:t>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No Temporal Data: </w:t>
      </w:r>
      <w:r>
        <w:rPr>
          <w:rFonts w:ascii="Times New Roman" w:cs="Times New Roman" w:eastAsia="Times New Roman" w:hAnsi="Times New Roman"/>
          <w:b w:val="false"/>
          <w:bCs w:val="false"/>
          <w:sz w:val="19"/>
          <w:szCs w:val="19"/>
        </w:rPr>
        <w:t xml:space="preserve">The dataset has no transaction-level time series. Behavioral trends over time cannot be tracked.</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Binary Activity Flag: </w:t>
      </w:r>
      <w:r>
        <w:rPr>
          <w:rFonts w:ascii="Times New Roman" w:cs="Times New Roman" w:eastAsia="Times New Roman" w:hAnsi="Times New Roman"/>
          <w:b w:val="false"/>
          <w:bCs w:val="false"/>
          <w:sz w:val="19"/>
          <w:szCs w:val="19"/>
        </w:rPr>
        <w:t xml:space="preserve">IsActiveMember is binary (0/1). Degree of activity (login frequency, transaction count) is not available.</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Salary vs Actual Income: </w:t>
      </w:r>
      <w:r>
        <w:rPr>
          <w:rFonts w:ascii="Times New Roman" w:cs="Times New Roman" w:eastAsia="Times New Roman" w:hAnsi="Times New Roman"/>
          <w:b w:val="false"/>
          <w:bCs w:val="false"/>
          <w:sz w:val="19"/>
          <w:szCs w:val="19"/>
        </w:rPr>
        <w:t xml:space="preserve">EstimatedSalary is an estimate, not verified income. Its use as a financial indicator has limitations.</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Churn Definition: </w:t>
      </w:r>
      <w:r>
        <w:rPr>
          <w:rFonts w:ascii="Times New Roman" w:cs="Times New Roman" w:eastAsia="Times New Roman" w:hAnsi="Times New Roman"/>
          <w:b w:val="false"/>
          <w:bCs w:val="false"/>
          <w:sz w:val="19"/>
          <w:szCs w:val="19"/>
        </w:rPr>
        <w:t xml:space="preserve">Exited=1 captures account closure but not partial disengagement (reduced product use, lower transactions).</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15. RECOMMENDATIONS</w:t>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R1 — Target Inactive High-Balance Customers: </w:t>
      </w:r>
      <w:r>
        <w:rPr>
          <w:rFonts w:ascii="Times New Roman" w:cs="Times New Roman" w:eastAsia="Times New Roman" w:hAnsi="Times New Roman"/>
          <w:b w:val="false"/>
          <w:bCs w:val="false"/>
          <w:sz w:val="19"/>
          <w:szCs w:val="19"/>
        </w:rPr>
        <w:t xml:space="preserve">1,247 at-risk premium customers churn at 32.2%. Launch personalized re-engagement campaigns with relationship managers offering exclusive products.</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R2 — Investigate 3-4 Product Churn Paradox: </w:t>
      </w:r>
      <w:r>
        <w:rPr>
          <w:rFonts w:ascii="Times New Roman" w:cs="Times New Roman" w:eastAsia="Times New Roman" w:hAnsi="Times New Roman"/>
          <w:b w:val="false"/>
          <w:bCs w:val="false"/>
          <w:sz w:val="19"/>
          <w:szCs w:val="19"/>
        </w:rPr>
        <w:t xml:space="preserve">Customers with 3-4 products churn at 83-100%. Audit whether these customers were over-sold products without genuine need, and redesign product bundling strategy.</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R3 — Germany-Specific Retention Program: </w:t>
      </w:r>
      <w:r>
        <w:rPr>
          <w:rFonts w:ascii="Times New Roman" w:cs="Times New Roman" w:eastAsia="Times New Roman" w:hAnsi="Times New Roman"/>
          <w:b w:val="false"/>
          <w:bCs w:val="false"/>
          <w:sz w:val="19"/>
          <w:szCs w:val="19"/>
        </w:rPr>
        <w:t xml:space="preserve">Germany churns at 32.4% vs 16.2% in France. A country-specific retention initiative addressing local competitive pressures and service gaps is urgently needed.</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R4 — Female Customer Loyalty Program: </w:t>
      </w:r>
      <w:r>
        <w:rPr>
          <w:rFonts w:ascii="Times New Roman" w:cs="Times New Roman" w:eastAsia="Times New Roman" w:hAnsi="Times New Roman"/>
          <w:b w:val="false"/>
          <w:bCs w:val="false"/>
          <w:sz w:val="19"/>
          <w:szCs w:val="19"/>
        </w:rPr>
        <w:t xml:space="preserve">Female customers churn 8.6 percentage points higher than males. Gender-targeted engagement programs, advisory services, and tailored product offerings should be explored.</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bCs/>
          <w:sz w:val="19"/>
          <w:szCs w:val="19"/>
        </w:rPr>
        <w:t xml:space="preserve">R5 — Senior Customer Engagement (51-60 Age): </w:t>
      </w:r>
      <w:r>
        <w:rPr>
          <w:rFonts w:ascii="Times New Roman" w:cs="Times New Roman" w:eastAsia="Times New Roman" w:hAnsi="Times New Roman"/>
          <w:b w:val="false"/>
          <w:bCs w:val="false"/>
          <w:sz w:val="19"/>
          <w:szCs w:val="19"/>
        </w:rPr>
        <w:t xml:space="preserve">This group churns at 56.2%. Dedicated relationship managers, simplified digital interfaces, and senior-specific products can significantly reduce this rate.</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16. CONCLUSION</w:t>
      </w:r>
    </w:p>
    <w:p>
      <w:pPr>
        <w:spacing w:after="50" w:before="50"/>
        <w:jc w:val="both"/>
      </w:pPr>
      <w:r>
        <w:rPr>
          <w:rFonts w:ascii="Times New Roman" w:cs="Times New Roman" w:eastAsia="Times New Roman" w:hAnsi="Times New Roman"/>
          <w:sz w:val="19"/>
          <w:szCs w:val="19"/>
        </w:rPr>
        <w:t xml:space="preserve">This analysis reframes customer churn from a behavioral and relationship-strength perspective for the European Bank. The key finding is that engagement level, product count, and relationship strength are stronger predictors of churn than balance or salary alone. All 1,247 at-risk premium customers combine high financial value with zero engagement — representing the greatest retention opportunity.</w:t>
      </w:r>
    </w:p>
    <w:p>
      <w:pPr>
        <w:spacing w:after="40" w:before="40"/>
      </w:pPr>
      <w:r>
        <w:t xml:space="preserve"/>
      </w:r>
    </w:p>
    <w:p>
      <w:pPr>
        <w:spacing w:after="50" w:before="50"/>
        <w:jc w:val="both"/>
      </w:pPr>
      <w:r>
        <w:rPr>
          <w:rFonts w:ascii="Times New Roman" w:cs="Times New Roman" w:eastAsia="Times New Roman" w:hAnsi="Times New Roman"/>
          <w:sz w:val="19"/>
          <w:szCs w:val="19"/>
        </w:rPr>
        <w:t xml:space="preserve">The Streamlit dashboard enables real-time exploration of these findings across all customer segments, empowering retention teams to act on data-driven insights rather than intuition.</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REFERENCES</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European Bank Customer Dataset — Project Requirement Document, Unified Mentor, 2026</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Python Software Foundation. pandas Documentation. https://pandas.pydata.org</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Streamlit Inc. Streamlit Documentation. https://docs.streamlit.io</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Matplotlib Development Team. Matplotlib Documentation. https://matplotlib.org</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Seaborn. Statistical Data Visualization. https://seaborn.pydata.org</w:t>
      </w:r>
    </w:p>
    <w:sectPr>
      <w:headerReference w:type="default" r:id="rId9"/>
      <w:footerReference w:type="default" r:id="rId10"/>
      <w:pgSz w:w="12240" w:h="15840" w:orient="portrait"/>
      <w:pgMar w:top="1080" w:right="900" w:bottom="1080" w:left="900" w:header="708" w:footer="708" w:gutter="0"/>
      <w:pgNumType/>
      <w:cols w:space="60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color w:val="666666"/>
        <w:sz w:val="17"/>
        <w:szCs w:val="17"/>
      </w:rPr>
      <w:t xml:space="preserve">Created by Lakshmi Mahitha Noudu  |  Mentored by Sai Prasad Kagne  |  Unified Mentor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color w:val="666666"/>
        <w:sz w:val="17"/>
        <w:szCs w:val="17"/>
      </w:rPr>
      <w:t xml:space="preserve">Created by Lakshmi Mahitha Noudu  |  Mentored by Sai Prasad Kagne  |  Unified Mentor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jc w:val="center"/>
    </w:pPr>
    <w:r>
      <w:rPr>
        <w:rFonts w:ascii="Arial" w:cs="Arial" w:eastAsia="Arial" w:hAnsi="Arial"/>
        <w:color w:val="1F3864"/>
        <w:sz w:val="18"/>
        <w:szCs w:val="18"/>
      </w:rPr>
      <w:t xml:space="preserve">European Bank  |  Customer Engagement &amp; Retention Analysis  |  April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jc w:val="center"/>
    </w:pPr>
    <w:r>
      <w:rPr>
        <w:rFonts w:ascii="Arial" w:cs="Arial" w:eastAsia="Arial" w:hAnsi="Arial"/>
        <w:color w:val="1F3864"/>
        <w:sz w:val="18"/>
        <w:szCs w:val="18"/>
      </w:rPr>
      <w:t xml:space="preserve">European Bank  |  Customer Engagement &amp; Retention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3d39325fc9e4e709367589eee5c93519bb97d51.png"/><Relationship Id="rId12" Type="http://schemas.openxmlformats.org/officeDocument/2006/relationships/image" Target="media/53c462f95272113c56cf461dfbc08670ea4731a8.png"/><Relationship Id="rId13" Type="http://schemas.openxmlformats.org/officeDocument/2006/relationships/image" Target="media/fd7fd62122a586e019b67371536c043f240c3446.png"/><Relationship Id="rId14" Type="http://schemas.openxmlformats.org/officeDocument/2006/relationships/image" Target="media/b1f3e625bc959d845817f3f6a5da9f1357f24996.png"/><Relationship Id="rId15" Type="http://schemas.openxmlformats.org/officeDocument/2006/relationships/image" Target="media/55645e5f00782c4ed431c2befefbbfbd0aee50ea.png"/><Relationship Id="rId16" Type="http://schemas.openxmlformats.org/officeDocument/2006/relationships/image" Target="media/40ba543599b03711793cea3021d74aec5fdb4cad.png"/><Relationship Id="rId17" Type="http://schemas.openxmlformats.org/officeDocument/2006/relationships/image" Target="media/062d2d1d164c20b1eddf42affd5ba9a58628f854.png"/><Relationship Id="rId18" Type="http://schemas.openxmlformats.org/officeDocument/2006/relationships/image" Target="media/0f93d223304436c96a8b1026e083f1278a996996.png"/><Relationship Id="rId19" Type="http://schemas.openxmlformats.org/officeDocument/2006/relationships/image" Target="media/1f6405e418f23959063383b671c1dd6aff25c89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2026-04-24T11:34:52.462Z</dcterms:created>
  <dcterms:modified xsi:type="dcterms:W3CDTF">2026-04-24T11:34:52.463Z</dcterms:modified>
</cp:coreProperties>
</file>

<file path=docProps/custom.xml><?xml version="1.0" encoding="utf-8"?>
<Properties xmlns="http://schemas.openxmlformats.org/officeDocument/2006/custom-properties" xmlns:vt="http://schemas.openxmlformats.org/officeDocument/2006/docPropsVTypes"/>
</file>