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80"/>
              <w:left w:type="dxa" w:w="400"/>
              <w:bottom w:type="dxa" w:w="280"/>
              <w:right w:type="dxa" w:w="400"/>
            </w:tcMar>
          </w:tcPr>
          <w:p>
            <w:pPr>
              <w:jc w:val="center"/>
            </w:pPr>
            <w:r>
              <w:rPr>
                <w:rFonts w:ascii="Arial" w:cs="Arial" w:eastAsia="Arial" w:hAnsi="Arial"/>
                <w:b/>
                <w:bCs/>
                <w:color w:val="FFFFFF"/>
                <w:sz w:val="52"/>
                <w:szCs w:val="52"/>
              </w:rPr>
              <w:t xml:space="preserve">NASSAU CANDY DISTRIBUTOR</w:t>
            </w:r>
          </w:p>
          <w:p>
            <w:pPr>
              <w:spacing w:before="80"/>
              <w:jc w:val="center"/>
            </w:pPr>
            <w:r>
              <w:rPr>
                <w:rFonts w:ascii="Arial" w:cs="Arial" w:eastAsia="Arial" w:hAnsi="Arial"/>
                <w:b/>
                <w:bCs/>
                <w:color w:val="C9A84C"/>
                <w:sz w:val="32"/>
                <w:szCs w:val="32"/>
              </w:rPr>
              <w:t xml:space="preserve">EXECUTIVE SUMMARY</w:t>
            </w:r>
          </w:p>
          <w:p>
            <w:pPr>
              <w:spacing w:before="60"/>
              <w:jc w:val="center"/>
            </w:pPr>
            <w:r>
              <w:rPr>
                <w:rFonts w:ascii="Arial" w:cs="Arial" w:eastAsia="Arial" w:hAnsi="Arial"/>
                <w:color w:val="AAAAAA"/>
                <w:sz w:val="20"/>
                <w:szCs w:val="20"/>
              </w:rPr>
              <w:t xml:space="preserve">Shipping Route Efficiency Analysis  |  Streamlit Dashboard v1.1  |  March 2026</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F3864"/>
                <w:sz w:val="18"/>
                <w:szCs w:val="18"/>
              </w:rPr>
              <w:t xml:space="preserve">Submitted By</w:t>
            </w:r>
          </w:p>
          <w:p>
            <w:r>
              <w:rPr>
                <w:rFonts w:ascii="Arial" w:cs="Arial" w:eastAsia="Arial" w:hAnsi="Arial"/>
                <w:sz w:val="18"/>
                <w:szCs w:val="18"/>
              </w:rPr>
              <w:t xml:space="preserve">Lakshmi Mahitha Noudu</w:t>
            </w:r>
          </w:p>
          <w:p>
            <w:r>
              <w:rPr>
                <w:rFonts w:ascii="Arial" w:cs="Arial" w:eastAsia="Arial" w:hAnsi="Arial"/>
                <w:color w:val="888888"/>
                <w:sz w:val="17"/>
                <w:szCs w:val="17"/>
              </w:rPr>
              <w:t xml:space="preserve">Data Analyst Intern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F3864"/>
                <w:sz w:val="18"/>
                <w:szCs w:val="18"/>
              </w:rPr>
              <w:t xml:space="preserve">Mentor</w:t>
            </w:r>
          </w:p>
          <w:p>
            <w:r>
              <w:rPr>
                <w:rFonts w:ascii="Arial" w:cs="Arial" w:eastAsia="Arial" w:hAnsi="Arial"/>
                <w:sz w:val="18"/>
                <w:szCs w:val="18"/>
              </w:rPr>
              <w:t xml:space="preserve">Sai Prasad Kagne</w:t>
            </w:r>
          </w:p>
          <w:p>
            <w:r>
              <w:rPr>
                <w:rFonts w:ascii="Arial" w:cs="Arial" w:eastAsia="Arial" w:hAnsi="Arial"/>
                <w:color w:val="888888"/>
                <w:sz w:val="17"/>
                <w:szCs w:val="17"/>
              </w:rPr>
              <w:t xml:space="preserve">Unified Mentor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F3864"/>
                <w:sz w:val="18"/>
                <w:szCs w:val="18"/>
              </w:rPr>
              <w:t xml:space="preserve">Dashboard</w:t>
            </w:r>
          </w:p>
          <w:p>
            <w:r>
              <w:rPr>
                <w:rFonts w:ascii="Arial" w:cs="Arial" w:eastAsia="Arial" w:hAnsi="Arial"/>
                <w:sz w:val="18"/>
                <w:szCs w:val="18"/>
              </w:rPr>
              <w:t xml:space="preserve">Nassau Candy Shipping Intelligence</w:t>
            </w:r>
          </w:p>
          <w:p>
            <w:r>
              <w:rPr>
                <w:rFonts w:ascii="Arial" w:cs="Arial" w:eastAsia="Arial" w:hAnsi="Arial"/>
                <w:color w:val="888888"/>
                <w:sz w:val="17"/>
                <w:szCs w:val="17"/>
              </w:rPr>
              <w:t xml:space="preserve">Version 1.1  |  March 2026</w:t>
            </w:r>
          </w:p>
        </w:tc>
      </w:tr>
    </w:tbl>
    <w:p>
      <w:pPr>
        <w:spacing w:before="80" w:after="80"/>
      </w:pPr>
      <w:r>
        <w:t xml:space="preserve"/>
      </w:r>
    </w:p>
    <w:p>
      <w:pPr>
        <w:pBdr>
          <w:bottom w:val="single" w:color="1F3864" w:sz="6" w:space="3"/>
        </w:pBdr>
        <w:spacing w:before="160" w:after="80"/>
      </w:pPr>
      <w:r>
        <w:rPr>
          <w:rFonts w:ascii="Arial" w:cs="Arial" w:eastAsia="Arial" w:hAnsi="Arial"/>
          <w:b/>
          <w:bCs/>
          <w:color w:val="1F3864"/>
          <w:sz w:val="24"/>
          <w:szCs w:val="24"/>
        </w:rPr>
        <w:t xml:space="preserve">PURPOSE</w:t>
      </w:r>
    </w:p>
    <w:p>
      <w:pPr>
        <w:spacing w:before="55" w:after="55"/>
        <w:jc w:val="both"/>
      </w:pPr>
      <w:r>
        <w:rPr>
          <w:rFonts w:ascii="Times New Roman" w:cs="Times New Roman" w:eastAsia="Times New Roman" w:hAnsi="Times New Roman"/>
          <w:b w:val="false"/>
          <w:bCs w:val="false"/>
          <w:i w:val="false"/>
          <w:iCs w:val="false"/>
          <w:sz w:val="20"/>
          <w:szCs w:val="20"/>
        </w:rPr>
        <w:t xml:space="preserve">This Executive Summary presents the key findings and strategic recommendations from a shipping route efficiency analysis of Nassau Candy Distributor. The analysis was built on 10,194 order records spanning January 2024 to December 2025, covering 5 factories, 15 products, 4 ship modes, and 59 states across 4 US customer regions.</w:t>
      </w:r>
    </w:p>
    <w:p>
      <w:pPr>
        <w:spacing w:before="40" w:after="40"/>
      </w:pPr>
      <w:r>
        <w:t xml:space="preserve"/>
      </w:r>
    </w:p>
    <w:p>
      <w:pPr>
        <w:spacing w:before="55" w:after="55"/>
        <w:jc w:val="both"/>
      </w:pPr>
      <w:r>
        <w:rPr>
          <w:rFonts w:ascii="Times New Roman" w:cs="Times New Roman" w:eastAsia="Times New Roman" w:hAnsi="Times New Roman"/>
          <w:b w:val="false"/>
          <w:bCs w:val="false"/>
          <w:i w:val="false"/>
          <w:iCs w:val="false"/>
          <w:sz w:val="20"/>
          <w:szCs w:val="20"/>
        </w:rPr>
        <w:t xml:space="preserve">The deliverable is an interactive Streamlit dashboard (app.py, Version 1.1) providing real-time logistics intelligence across 4 pages, supported by this Executive Summary and a full research report.</w:t>
      </w:r>
    </w:p>
    <w:p>
      <w:pPr>
        <w:spacing w:before="80" w:after="80"/>
      </w:pPr>
      <w:r>
        <w:t xml:space="preserve"/>
      </w:r>
    </w:p>
    <w:p>
      <w:pPr>
        <w:pBdr>
          <w:bottom w:val="single" w:color="1F3864" w:sz="6" w:space="3"/>
        </w:pBdr>
        <w:spacing w:before="160" w:after="80"/>
      </w:pPr>
      <w:r>
        <w:rPr>
          <w:rFonts w:ascii="Arial" w:cs="Arial" w:eastAsia="Arial" w:hAnsi="Arial"/>
          <w:b/>
          <w:bCs/>
          <w:color w:val="1F3864"/>
          <w:sz w:val="24"/>
          <w:szCs w:val="24"/>
        </w:rPr>
        <w:t xml:space="preserve">AT-A-GLANCE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2160"/>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10,194</w:t>
            </w:r>
          </w:p>
          <w:p>
            <w:pPr>
              <w:spacing w:before="30"/>
              <w:jc w:val="center"/>
            </w:pPr>
            <w:r>
              <w:rPr>
                <w:rFonts w:ascii="Arial" w:cs="Arial" w:eastAsia="Arial" w:hAnsi="Arial"/>
                <w:color w:val="555555"/>
                <w:sz w:val="17"/>
                <w:szCs w:val="17"/>
              </w:rPr>
              <w:t xml:space="preserve">Total Orders</w:t>
            </w:r>
          </w:p>
        </w:tc>
        <w:tc>
          <w:tcPr>
            <w:tcW w:type="dxa" w:w="2160"/>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178.3d</w:t>
            </w:r>
          </w:p>
          <w:p>
            <w:pPr>
              <w:spacing w:before="30"/>
              <w:jc w:val="center"/>
            </w:pPr>
            <w:r>
              <w:rPr>
                <w:rFonts w:ascii="Arial" w:cs="Arial" w:eastAsia="Arial" w:hAnsi="Arial"/>
                <w:color w:val="555555"/>
                <w:sz w:val="17"/>
                <w:szCs w:val="17"/>
              </w:rPr>
              <w:t xml:space="preserve">Avg Lead Time</w:t>
            </w:r>
          </w:p>
        </w:tc>
        <w:tc>
          <w:tcPr>
            <w:tcW w:type="dxa" w:w="2160"/>
            <w:tcBorders>
              <w:top w:val="single" w:color="CCCCCC" w:sz="1"/>
              <w:left w:val="single" w:color="CCCCCC" w:sz="1"/>
              <w:bottom w:val="single" w:color="CCCCCC" w:sz="1"/>
              <w:right w:val="single" w:color="CCCCCC" w:sz="1"/>
            </w:tcBorders>
            <w:shd w:fill="FDEDEC" w:val="clear"/>
            <w:tcMar>
              <w:top w:type="dxa" w:w="120"/>
              <w:left w:type="dxa" w:w="120"/>
              <w:bottom w:type="dxa" w:w="120"/>
              <w:right w:type="dxa" w:w="120"/>
            </w:tcMar>
          </w:tcPr>
          <w:p>
            <w:pPr>
              <w:jc w:val="center"/>
            </w:pPr>
            <w:r>
              <w:rPr>
                <w:rFonts w:ascii="Arial" w:cs="Arial" w:eastAsia="Arial" w:hAnsi="Arial"/>
                <w:b/>
                <w:bCs/>
                <w:color w:val="C0392B"/>
                <w:sz w:val="36"/>
                <w:szCs w:val="36"/>
              </w:rPr>
              <w:t xml:space="preserve">180.1d</w:t>
            </w:r>
          </w:p>
          <w:p>
            <w:pPr>
              <w:spacing w:before="30"/>
              <w:jc w:val="center"/>
            </w:pPr>
            <w:r>
              <w:rPr>
                <w:rFonts w:ascii="Arial" w:cs="Arial" w:eastAsia="Arial" w:hAnsi="Arial"/>
                <w:color w:val="555555"/>
                <w:sz w:val="17"/>
                <w:szCs w:val="17"/>
              </w:rPr>
              <w:t xml:space="preserve">Delay Threshold</w:t>
            </w:r>
          </w:p>
        </w:tc>
        <w:tc>
          <w:tcPr>
            <w:tcW w:type="dxa" w:w="2160"/>
            <w:tcBorders>
              <w:top w:val="single" w:color="CCCCCC" w:sz="1"/>
              <w:left w:val="single" w:color="CCCCCC" w:sz="1"/>
              <w:bottom w:val="single" w:color="CCCCCC" w:sz="1"/>
              <w:right w:val="single" w:color="CCCCCC" w:sz="1"/>
            </w:tcBorders>
            <w:shd w:fill="FDEDEC" w:val="clear"/>
            <w:tcMar>
              <w:top w:type="dxa" w:w="120"/>
              <w:left w:type="dxa" w:w="120"/>
              <w:bottom w:type="dxa" w:w="120"/>
              <w:right w:type="dxa" w:w="120"/>
            </w:tcMar>
          </w:tcPr>
          <w:p>
            <w:pPr>
              <w:jc w:val="center"/>
            </w:pPr>
            <w:r>
              <w:rPr>
                <w:rFonts w:ascii="Arial" w:cs="Arial" w:eastAsia="Arial" w:hAnsi="Arial"/>
                <w:b/>
                <w:bCs/>
                <w:color w:val="C0392B"/>
                <w:sz w:val="36"/>
                <w:szCs w:val="36"/>
              </w:rPr>
              <w:t xml:space="preserve">10.25%</w:t>
            </w:r>
          </w:p>
          <w:p>
            <w:pPr>
              <w:spacing w:before="30"/>
              <w:jc w:val="center"/>
            </w:pPr>
            <w:r>
              <w:rPr>
                <w:rFonts w:ascii="Arial" w:cs="Arial" w:eastAsia="Arial" w:hAnsi="Arial"/>
                <w:color w:val="555555"/>
                <w:sz w:val="17"/>
                <w:szCs w:val="17"/>
              </w:rPr>
              <w:t xml:space="preserve">Overall Delay Rate</w:t>
            </w:r>
          </w:p>
        </w:tc>
        <w:tc>
          <w:tcPr>
            <w:tcW w:type="dxa" w:w="2160"/>
            <w:tcBorders>
              <w:top w:val="single" w:color="CCCCCC" w:sz="1"/>
              <w:left w:val="single" w:color="CCCCCC" w:sz="1"/>
              <w:bottom w:val="single" w:color="CCCCCC" w:sz="1"/>
              <w:right w:val="single" w:color="CCCCCC" w:sz="1"/>
            </w:tcBorders>
            <w:shd w:fill="FDEDEC" w:val="clear"/>
            <w:tcMar>
              <w:top w:type="dxa" w:w="120"/>
              <w:left w:type="dxa" w:w="120"/>
              <w:bottom w:type="dxa" w:w="120"/>
              <w:right w:type="dxa" w:w="120"/>
            </w:tcMar>
          </w:tcPr>
          <w:p>
            <w:pPr>
              <w:jc w:val="center"/>
            </w:pPr>
            <w:r>
              <w:rPr>
                <w:rFonts w:ascii="Arial" w:cs="Arial" w:eastAsia="Arial" w:hAnsi="Arial"/>
                <w:b/>
                <w:bCs/>
                <w:color w:val="C0392B"/>
                <w:sz w:val="36"/>
                <w:szCs w:val="36"/>
              </w:rPr>
              <w:t xml:space="preserve">1,045</w:t>
            </w:r>
          </w:p>
          <w:p>
            <w:pPr>
              <w:spacing w:before="30"/>
              <w:jc w:val="center"/>
            </w:pPr>
            <w:r>
              <w:rPr>
                <w:rFonts w:ascii="Arial" w:cs="Arial" w:eastAsia="Arial" w:hAnsi="Arial"/>
                <w:color w:val="555555"/>
                <w:sz w:val="17"/>
                <w:szCs w:val="17"/>
              </w:rPr>
              <w:t xml:space="preserve">Delayed Orders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2160"/>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20</w:t>
            </w:r>
          </w:p>
          <w:p>
            <w:pPr>
              <w:spacing w:before="30"/>
              <w:jc w:val="center"/>
            </w:pPr>
            <w:r>
              <w:rPr>
                <w:rFonts w:ascii="Arial" w:cs="Arial" w:eastAsia="Arial" w:hAnsi="Arial"/>
                <w:color w:val="555555"/>
                <w:sz w:val="17"/>
                <w:szCs w:val="17"/>
              </w:rPr>
              <w:t xml:space="preserve">Routes Analysed</w:t>
            </w:r>
          </w:p>
        </w:tc>
        <w:tc>
          <w:tcPr>
            <w:tcW w:type="dxa" w:w="2160"/>
            <w:tcBorders>
              <w:top w:val="single" w:color="CCCCCC" w:sz="1"/>
              <w:left w:val="single" w:color="CCCCCC" w:sz="1"/>
              <w:bottom w:val="single" w:color="CCCCCC" w:sz="1"/>
              <w:right w:val="single" w:color="CCCCCC" w:sz="1"/>
            </w:tcBorders>
            <w:shd w:fill="EAFAF1" w:val="clear"/>
            <w:tcMar>
              <w:top w:type="dxa" w:w="120"/>
              <w:left w:type="dxa" w:w="120"/>
              <w:bottom w:type="dxa" w:w="120"/>
              <w:right w:type="dxa" w:w="120"/>
            </w:tcMar>
          </w:tcPr>
          <w:p>
            <w:pPr>
              <w:jc w:val="center"/>
            </w:pPr>
            <w:r>
              <w:rPr>
                <w:rFonts w:ascii="Arial" w:cs="Arial" w:eastAsia="Arial" w:hAnsi="Arial"/>
                <w:b/>
                <w:bCs/>
                <w:color w:val="27AE60"/>
                <w:sz w:val="36"/>
                <w:szCs w:val="36"/>
              </w:rPr>
              <w:t xml:space="preserve">177.6d</w:t>
            </w:r>
          </w:p>
          <w:p>
            <w:pPr>
              <w:spacing w:before="30"/>
              <w:jc w:val="center"/>
            </w:pPr>
            <w:r>
              <w:rPr>
                <w:rFonts w:ascii="Arial" w:cs="Arial" w:eastAsia="Arial" w:hAnsi="Arial"/>
                <w:color w:val="555555"/>
                <w:sz w:val="17"/>
                <w:szCs w:val="17"/>
              </w:rPr>
              <w:t xml:space="preserve">Fastest Route</w:t>
            </w:r>
          </w:p>
        </w:tc>
        <w:tc>
          <w:tcPr>
            <w:tcW w:type="dxa" w:w="2160"/>
            <w:tcBorders>
              <w:top w:val="single" w:color="CCCCCC" w:sz="1"/>
              <w:left w:val="single" w:color="CCCCCC" w:sz="1"/>
              <w:bottom w:val="single" w:color="CCCCCC" w:sz="1"/>
              <w:right w:val="single" w:color="CCCCCC" w:sz="1"/>
            </w:tcBorders>
            <w:shd w:fill="FDEDEC" w:val="clear"/>
            <w:tcMar>
              <w:top w:type="dxa" w:w="120"/>
              <w:left w:type="dxa" w:w="120"/>
              <w:bottom w:type="dxa" w:w="120"/>
              <w:right w:type="dxa" w:w="120"/>
            </w:tcMar>
          </w:tcPr>
          <w:p>
            <w:pPr>
              <w:jc w:val="center"/>
            </w:pPr>
            <w:r>
              <w:rPr>
                <w:rFonts w:ascii="Arial" w:cs="Arial" w:eastAsia="Arial" w:hAnsi="Arial"/>
                <w:b/>
                <w:bCs/>
                <w:color w:val="C0392B"/>
                <w:sz w:val="36"/>
                <w:szCs w:val="36"/>
              </w:rPr>
              <w:t xml:space="preserve">179.0d</w:t>
            </w:r>
          </w:p>
          <w:p>
            <w:pPr>
              <w:spacing w:before="30"/>
              <w:jc w:val="center"/>
            </w:pPr>
            <w:r>
              <w:rPr>
                <w:rFonts w:ascii="Arial" w:cs="Arial" w:eastAsia="Arial" w:hAnsi="Arial"/>
                <w:color w:val="555555"/>
                <w:sz w:val="17"/>
                <w:szCs w:val="17"/>
              </w:rPr>
              <w:t xml:space="preserve">Slowest Route</w:t>
            </w:r>
          </w:p>
        </w:tc>
        <w:tc>
          <w:tcPr>
            <w:tcW w:type="dxa" w:w="2160"/>
            <w:tcBorders>
              <w:top w:val="single" w:color="CCCCCC" w:sz="1"/>
              <w:left w:val="single" w:color="CCCCCC" w:sz="1"/>
              <w:bottom w:val="single" w:color="CCCCCC" w:sz="1"/>
              <w:right w:val="single" w:color="CCCCCC" w:sz="1"/>
            </w:tcBorders>
            <w:shd w:fill="EAFAF1" w:val="clear"/>
            <w:tcMar>
              <w:top w:type="dxa" w:w="120"/>
              <w:left w:type="dxa" w:w="120"/>
              <w:bottom w:type="dxa" w:w="120"/>
              <w:right w:type="dxa" w:w="120"/>
            </w:tcMar>
          </w:tcPr>
          <w:p>
            <w:pPr>
              <w:jc w:val="center"/>
            </w:pPr>
            <w:r>
              <w:rPr>
                <w:rFonts w:ascii="Arial" w:cs="Arial" w:eastAsia="Arial" w:hAnsi="Arial"/>
                <w:b/>
                <w:bCs/>
                <w:color w:val="27AE60"/>
                <w:sz w:val="36"/>
                <w:szCs w:val="36"/>
              </w:rPr>
              <w:t xml:space="preserve">100 / 100</w:t>
            </w:r>
          </w:p>
          <w:p>
            <w:pPr>
              <w:spacing w:before="30"/>
              <w:jc w:val="center"/>
            </w:pPr>
            <w:r>
              <w:rPr>
                <w:rFonts w:ascii="Arial" w:cs="Arial" w:eastAsia="Arial" w:hAnsi="Arial"/>
                <w:color w:val="555555"/>
                <w:sz w:val="17"/>
                <w:szCs w:val="17"/>
              </w:rPr>
              <w:t xml:space="preserve">Best Efficiency</w:t>
            </w:r>
          </w:p>
        </w:tc>
        <w:tc>
          <w:tcPr>
            <w:tcW w:type="dxa" w:w="2160"/>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59</w:t>
            </w:r>
          </w:p>
          <w:p>
            <w:pPr>
              <w:spacing w:before="30"/>
              <w:jc w:val="center"/>
            </w:pPr>
            <w:r>
              <w:rPr>
                <w:rFonts w:ascii="Arial" w:cs="Arial" w:eastAsia="Arial" w:hAnsi="Arial"/>
                <w:color w:val="555555"/>
                <w:sz w:val="17"/>
                <w:szCs w:val="17"/>
              </w:rPr>
              <w:t xml:space="preserve">States Covered</w:t>
            </w:r>
          </w:p>
        </w:tc>
      </w:tr>
    </w:tbl>
    <w:p>
      <w:pPr>
        <w:spacing w:before="80" w:after="80"/>
      </w:pPr>
      <w:r>
        <w:t xml:space="preserve"/>
      </w:r>
    </w:p>
    <w:p>
      <w:pPr>
        <w:pBdr>
          <w:bottom w:val="single" w:color="1F3864" w:sz="6" w:space="3"/>
        </w:pBdr>
        <w:spacing w:before="160" w:after="80"/>
      </w:pPr>
      <w:r>
        <w:rPr>
          <w:rFonts w:ascii="Arial" w:cs="Arial" w:eastAsia="Arial" w:hAnsi="Arial"/>
          <w:b/>
          <w:bCs/>
          <w:color w:val="1F3864"/>
          <w:sz w:val="24"/>
          <w:szCs w:val="24"/>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74C3C"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9120"/>
            <w:tcBorders>
              <w:top w:val="none" w:color="FFFFFF" w:sz="0"/>
              <w:left w:val="single" w:color="E74C3C" w:sz="4"/>
              <w:bottom w:val="none" w:color="FFFFFF" w:sz="0"/>
              <w:right w:val="none" w:color="FFFFFF" w:sz="0"/>
            </w:tcBorders>
            <w:shd w:fill="FDEDEC" w:val="clear"/>
            <w:tcMar>
              <w:top w:type="dxa" w:w="80"/>
              <w:left w:type="dxa" w:w="160"/>
              <w:bottom w:type="dxa" w:w="80"/>
              <w:right w:type="dxa" w:w="120"/>
            </w:tcMar>
          </w:tcPr>
          <w:p>
            <w:r>
              <w:rPr>
                <w:rFonts w:ascii="Arial" w:cs="Arial" w:eastAsia="Arial" w:hAnsi="Arial"/>
                <w:b/>
                <w:bCs/>
                <w:color w:val="C0392B"/>
                <w:sz w:val="21"/>
                <w:szCs w:val="21"/>
              </w:rPr>
              <w:t xml:space="preserve">Standard Class is the sole cause of all delays</w:t>
            </w:r>
          </w:p>
          <w:p>
            <w:pPr>
              <w:spacing w:before="40"/>
              <w:jc w:val="both"/>
            </w:pPr>
            <w:r>
              <w:rPr>
                <w:rFonts w:ascii="Times New Roman" w:cs="Times New Roman" w:eastAsia="Times New Roman" w:hAnsi="Times New Roman"/>
                <w:sz w:val="19"/>
                <w:szCs w:val="19"/>
              </w:rPr>
              <w:t xml:space="preserve">All 1,045 delayed orders (10.25% of total) belong exclusively to Standard Class shipping. The other three modes — Same Day, First Class, and Second Class — recorded 0.0% delay rates. Despite this, Standard Class handles 60% of all shipments (6,120 orders).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7AE6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9120"/>
            <w:tcBorders>
              <w:top w:val="none" w:color="FFFFFF" w:sz="0"/>
              <w:left w:val="single" w:color="27AE60"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1E8449"/>
                <w:sz w:val="21"/>
                <w:szCs w:val="21"/>
              </w:rPr>
              <w:t xml:space="preserve">The Other Factory is the most efficient — Efficiency Score: 100</w:t>
            </w:r>
          </w:p>
          <w:p>
            <w:pPr>
              <w:spacing w:before="40"/>
              <w:jc w:val="both"/>
            </w:pPr>
            <w:r>
              <w:rPr>
                <w:rFonts w:ascii="Times New Roman" w:cs="Times New Roman" w:eastAsia="Times New Roman" w:hAnsi="Times New Roman"/>
                <w:sz w:val="19"/>
                <w:szCs w:val="19"/>
              </w:rPr>
              <w:t xml:space="preserve">The Other Factory → Gulf is the fastest route at 177.63 days with a perfect Efficiency Score of 100. This factory also achieves the lowest overall factory average at 177.98 days, outperforming all four other factories.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74C3C"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9120"/>
            <w:tcBorders>
              <w:top w:val="none" w:color="FFFFFF" w:sz="0"/>
              <w:left w:val="single" w:color="E74C3C" w:sz="4"/>
              <w:bottom w:val="none" w:color="FFFFFF" w:sz="0"/>
              <w:right w:val="none" w:color="FFFFFF" w:sz="0"/>
            </w:tcBorders>
            <w:shd w:fill="FDEDEC" w:val="clear"/>
            <w:tcMar>
              <w:top w:type="dxa" w:w="80"/>
              <w:left w:type="dxa" w:w="160"/>
              <w:bottom w:type="dxa" w:w="80"/>
              <w:right w:type="dxa" w:w="120"/>
            </w:tcMar>
          </w:tcPr>
          <w:p>
            <w:r>
              <w:rPr>
                <w:rFonts w:ascii="Arial" w:cs="Arial" w:eastAsia="Arial" w:hAnsi="Arial"/>
                <w:b/>
                <w:bCs/>
                <w:color w:val="C0392B"/>
                <w:sz w:val="21"/>
                <w:szCs w:val="21"/>
              </w:rPr>
              <w:t xml:space="preserve">Sugar Shack → Atlantic is the worst-performing route — Efficiency Score: 0</w:t>
            </w:r>
          </w:p>
          <w:p>
            <w:pPr>
              <w:spacing w:before="40"/>
              <w:jc w:val="both"/>
            </w:pPr>
            <w:r>
              <w:rPr>
                <w:rFonts w:ascii="Times New Roman" w:cs="Times New Roman" w:eastAsia="Times New Roman" w:hAnsi="Times New Roman"/>
                <w:sz w:val="19"/>
                <w:szCs w:val="19"/>
              </w:rPr>
              <w:t xml:space="preserve">Sugar Shack shipping to the Atlantic region records the highest average lead time at 179.00 days with an Efficiency Score of 0. Sugar Shack is also the slowest factory overall at 178.67 days, particularly underperforming on Atlantic and Gulf routes.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F39C12"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9120"/>
            <w:tcBorders>
              <w:top w:val="none" w:color="FFFFFF" w:sz="0"/>
              <w:left w:val="single" w:color="F39C12" w:sz="4"/>
              <w:bottom w:val="none" w:color="FFFFFF" w:sz="0"/>
              <w:right w:val="none" w:color="FFFFFF" w:sz="0"/>
            </w:tcBorders>
            <w:shd w:fill="FEF9E7" w:val="clear"/>
            <w:tcMar>
              <w:top w:type="dxa" w:w="80"/>
              <w:left w:type="dxa" w:w="160"/>
              <w:bottom w:type="dxa" w:w="80"/>
              <w:right w:type="dxa" w:w="120"/>
            </w:tcMar>
          </w:tcPr>
          <w:p>
            <w:r>
              <w:rPr>
                <w:rFonts w:ascii="Arial" w:cs="Arial" w:eastAsia="Arial" w:hAnsi="Arial"/>
                <w:b/>
                <w:bCs/>
                <w:color w:val="D68910"/>
                <w:sz w:val="21"/>
                <w:szCs w:val="21"/>
              </w:rPr>
              <w:t xml:space="preserve">Product-level: Nerds &amp; SweeTARTS are slowest; Fun Dip is fastest</w:t>
            </w:r>
          </w:p>
          <w:p>
            <w:pPr>
              <w:spacing w:before="40"/>
              <w:jc w:val="both"/>
            </w:pPr>
            <w:r>
              <w:rPr>
                <w:rFonts w:ascii="Times New Roman" w:cs="Times New Roman" w:eastAsia="Times New Roman" w:hAnsi="Times New Roman"/>
                <w:sz w:val="19"/>
                <w:szCs w:val="19"/>
              </w:rPr>
              <w:t xml:space="preserve">At the product level, Nerds and SweeTARTS have the highest average lead time at 179.00 days each (both from Sugar Shack). Fun Dip is the fastest product at 177.67 days. The Sugar division (178.52 days) consistently outperforms Chocolate (178.30 days) in lead time.</w:t>
            </w:r>
          </w:p>
        </w:tc>
      </w:tr>
    </w:tbl>
    <w:p>
      <w:pPr>
        <w:spacing w:before="80" w:after="80"/>
      </w:pPr>
      <w:r>
        <w:t xml:space="preserve"/>
      </w:r>
    </w:p>
    <w:p>
      <w:pPr>
        <w:pBdr>
          <w:bottom w:val="single" w:color="1F3864" w:sz="6" w:space="3"/>
        </w:pBdr>
        <w:spacing w:before="160" w:after="80"/>
      </w:pPr>
      <w:r>
        <w:rPr>
          <w:rFonts w:ascii="Arial" w:cs="Arial" w:eastAsia="Arial" w:hAnsi="Arial"/>
          <w:b/>
          <w:bCs/>
          <w:color w:val="1F3864"/>
          <w:sz w:val="24"/>
          <w:szCs w:val="24"/>
        </w:rPr>
        <w:t xml:space="preserve">ROUTE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Route (Factory → Region)</w:t>
            </w:r>
          </w:p>
        </w:tc>
        <w:tc>
          <w:tcPr>
            <w:tcW w:type="dxa" w:w="14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Avg Lead Time</w:t>
            </w:r>
          </w:p>
        </w:tc>
        <w:tc>
          <w:tcPr>
            <w:tcW w:type="dxa" w:w="14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Efficiency Score</w:t>
            </w:r>
          </w:p>
        </w:tc>
        <w:tc>
          <w:tcPr>
            <w:tcW w:type="dxa" w:w="14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Orders</w:t>
            </w:r>
          </w:p>
        </w:tc>
        <w:tc>
          <w:tcPr>
            <w:tcW w:type="dxa" w:w="14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Delay Rate</w:t>
            </w:r>
          </w:p>
        </w:tc>
      </w:tr>
      <w:tr>
        <w:tc>
          <w:tcPr>
            <w:tcW w:type="dxa" w:w="36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left"/>
            </w:pPr>
            <w:r>
              <w:rPr>
                <w:rFonts w:ascii="Arial" w:cs="Arial" w:eastAsia="Arial" w:hAnsi="Arial"/>
                <w:b/>
                <w:bCs/>
                <w:color w:val="000000"/>
                <w:sz w:val="17"/>
                <w:szCs w:val="17"/>
              </w:rPr>
              <w:t xml:space="preserve">The Other Factory → Gulf ⭐</w:t>
            </w:r>
          </w:p>
        </w:tc>
        <w:tc>
          <w:tcPr>
            <w:tcW w:type="dxa" w:w="144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rFonts w:ascii="Arial" w:cs="Arial" w:eastAsia="Arial" w:hAnsi="Arial"/>
                <w:b/>
                <w:bCs/>
                <w:color w:val="27AE60"/>
                <w:sz w:val="17"/>
                <w:szCs w:val="17"/>
              </w:rPr>
              <w:t xml:space="preserve">177.63d</w:t>
            </w:r>
          </w:p>
        </w:tc>
        <w:tc>
          <w:tcPr>
            <w:tcW w:type="dxa" w:w="144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rFonts w:ascii="Arial" w:cs="Arial" w:eastAsia="Arial" w:hAnsi="Arial"/>
                <w:b/>
                <w:bCs/>
                <w:color w:val="27AE60"/>
                <w:sz w:val="17"/>
                <w:szCs w:val="17"/>
              </w:rPr>
              <w:t xml:space="preserve">100.0</w:t>
            </w:r>
          </w:p>
        </w:tc>
        <w:tc>
          <w:tcPr>
            <w:tcW w:type="dxa" w:w="144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19</w:t>
            </w:r>
          </w:p>
        </w:tc>
        <w:tc>
          <w:tcPr>
            <w:tcW w:type="dxa" w:w="144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5%</w:t>
            </w:r>
          </w:p>
        </w:tc>
      </w:tr>
      <w:tr>
        <w:tc>
          <w:tcPr>
            <w:tcW w:type="dxa" w:w="36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Secret Factory → Interior</w:t>
            </w:r>
          </w:p>
        </w:tc>
        <w:tc>
          <w:tcPr>
            <w:tcW w:type="dxa" w:w="14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27AE60"/>
                <w:sz w:val="17"/>
                <w:szCs w:val="17"/>
              </w:rPr>
              <w:t xml:space="preserve">177.87d</w:t>
            </w:r>
          </w:p>
        </w:tc>
        <w:tc>
          <w:tcPr>
            <w:tcW w:type="dxa" w:w="14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82.5</w:t>
            </w:r>
          </w:p>
        </w:tc>
        <w:tc>
          <w:tcPr>
            <w:tcW w:type="dxa" w:w="14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45</w:t>
            </w:r>
          </w:p>
        </w:tc>
        <w:tc>
          <w:tcPr>
            <w:tcW w:type="dxa" w:w="14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7%</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Secret Factory → Pacific</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177.97d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75.2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63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10%</w:t>
            </w:r>
          </w:p>
        </w:tc>
      </w:tr>
      <w:tr>
        <w:tc>
          <w:tcPr>
            <w:tcW w:type="dxa" w:w="36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Lot's O' Nuts → Atlantic</w:t>
            </w:r>
          </w:p>
        </w:tc>
        <w:tc>
          <w:tcPr>
            <w:tcW w:type="dxa" w:w="14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178.21d</w:t>
            </w:r>
          </w:p>
        </w:tc>
        <w:tc>
          <w:tcPr>
            <w:tcW w:type="dxa" w:w="14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57.7</w:t>
            </w:r>
          </w:p>
        </w:tc>
        <w:tc>
          <w:tcPr>
            <w:tcW w:type="dxa" w:w="14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1,661</w:t>
            </w:r>
          </w:p>
        </w:tc>
        <w:tc>
          <w:tcPr>
            <w:tcW w:type="dxa" w:w="14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Lot's O' Nuts → Pacific</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178.24d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55.5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1,813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10%</w:t>
            </w:r>
          </w:p>
        </w:tc>
      </w:tr>
      <w:tr>
        <w:tc>
          <w:tcPr>
            <w:tcW w:type="dxa" w:w="36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Wicked Choccy's → Interior</w:t>
            </w:r>
          </w:p>
        </w:tc>
        <w:tc>
          <w:tcPr>
            <w:tcW w:type="dxa" w:w="144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val="false"/>
                <w:bCs w:val="false"/>
                <w:color w:val="D68910"/>
                <w:sz w:val="17"/>
                <w:szCs w:val="17"/>
              </w:rPr>
              <w:t xml:space="preserve">178.45d</w:t>
            </w:r>
          </w:p>
        </w:tc>
        <w:tc>
          <w:tcPr>
            <w:tcW w:type="dxa" w:w="144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val="false"/>
                <w:bCs w:val="false"/>
                <w:color w:val="D68910"/>
                <w:sz w:val="17"/>
                <w:szCs w:val="17"/>
              </w:rPr>
              <w:t xml:space="preserve">40.1</w:t>
            </w:r>
          </w:p>
        </w:tc>
        <w:tc>
          <w:tcPr>
            <w:tcW w:type="dxa" w:w="144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950</w:t>
            </w:r>
          </w:p>
        </w:tc>
        <w:tc>
          <w:tcPr>
            <w:tcW w:type="dxa" w:w="144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11%</w:t>
            </w:r>
          </w:p>
        </w:tc>
      </w:tr>
      <w:tr>
        <w:tc>
          <w:tcPr>
            <w:tcW w:type="dxa" w:w="36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Sugar Shack → Gulf</w:t>
            </w:r>
          </w:p>
        </w:tc>
        <w:tc>
          <w:tcPr>
            <w:tcW w:type="dxa" w:w="14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val="false"/>
                <w:bCs w:val="false"/>
                <w:color w:val="C0392B"/>
                <w:sz w:val="17"/>
                <w:szCs w:val="17"/>
              </w:rPr>
              <w:t xml:space="preserve">178.75d</w:t>
            </w:r>
          </w:p>
        </w:tc>
        <w:tc>
          <w:tcPr>
            <w:tcW w:type="dxa" w:w="14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val="false"/>
                <w:bCs w:val="false"/>
                <w:color w:val="C0392B"/>
                <w:sz w:val="17"/>
                <w:szCs w:val="17"/>
              </w:rPr>
              <w:t xml:space="preserve">18.2</w:t>
            </w:r>
          </w:p>
        </w:tc>
        <w:tc>
          <w:tcPr>
            <w:tcW w:type="dxa" w:w="14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4</w:t>
            </w:r>
          </w:p>
        </w:tc>
        <w:tc>
          <w:tcPr>
            <w:tcW w:type="dxa" w:w="14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0%</w:t>
            </w:r>
          </w:p>
        </w:tc>
      </w:tr>
      <w:tr>
        <w:tc>
          <w:tcPr>
            <w:tcW w:type="dxa" w:w="36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left"/>
            </w:pPr>
            <w:r>
              <w:rPr>
                <w:rFonts w:ascii="Arial" w:cs="Arial" w:eastAsia="Arial" w:hAnsi="Arial"/>
                <w:b/>
                <w:bCs/>
                <w:color w:val="000000"/>
                <w:sz w:val="17"/>
                <w:szCs w:val="17"/>
              </w:rPr>
              <w:t xml:space="preserve">Sugar Shack → Atlantic ❌</w:t>
            </w:r>
          </w:p>
        </w:tc>
        <w:tc>
          <w:tcPr>
            <w:tcW w:type="dxa" w:w="14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bCs/>
                <w:color w:val="C0392B"/>
                <w:sz w:val="17"/>
                <w:szCs w:val="17"/>
              </w:rPr>
              <w:t xml:space="preserve">179.00d</w:t>
            </w:r>
          </w:p>
        </w:tc>
        <w:tc>
          <w:tcPr>
            <w:tcW w:type="dxa" w:w="14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bCs/>
                <w:color w:val="C0392B"/>
                <w:sz w:val="17"/>
                <w:szCs w:val="17"/>
              </w:rPr>
              <w:t xml:space="preserve">0.0</w:t>
            </w:r>
          </w:p>
        </w:tc>
        <w:tc>
          <w:tcPr>
            <w:tcW w:type="dxa" w:w="14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18</w:t>
            </w:r>
          </w:p>
        </w:tc>
        <w:tc>
          <w:tcPr>
            <w:tcW w:type="dxa" w:w="14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11%</w:t>
            </w:r>
          </w:p>
        </w:tc>
      </w:tr>
    </w:tbl>
    <w:p>
      <w:pPr>
        <w:spacing w:before="40" w:after="40"/>
      </w:pPr>
      <w:r>
        <w:t xml:space="preserve"/>
      </w:r>
    </w:p>
    <w:p>
      <w:pPr>
        <w:spacing w:before="55" w:after="55"/>
        <w:jc w:val="both"/>
      </w:pPr>
      <w:r>
        <w:rPr>
          <w:rFonts w:ascii="Times New Roman" w:cs="Times New Roman" w:eastAsia="Times New Roman" w:hAnsi="Times New Roman"/>
          <w:b w:val="false"/>
          <w:bCs w:val="false"/>
          <w:i/>
          <w:iCs/>
          <w:sz w:val="20"/>
          <w:szCs w:val="20"/>
        </w:rPr>
        <w:t xml:space="preserve">Note: All 20 factory-region routes are available in the Route Efficiency Overview page of the dashboard with full interactive filtering.</w:t>
      </w:r>
    </w:p>
    <w:p>
      <w:pPr>
        <w:spacing w:before="80" w:after="80"/>
      </w:pPr>
      <w:r>
        <w:t xml:space="preserve"/>
      </w:r>
    </w:p>
    <w:p>
      <w:pPr>
        <w:pBdr>
          <w:bottom w:val="single" w:color="1F3864" w:sz="6" w:space="3"/>
        </w:pBdr>
        <w:spacing w:before="160" w:after="80"/>
      </w:pPr>
      <w:r>
        <w:rPr>
          <w:rFonts w:ascii="Arial" w:cs="Arial" w:eastAsia="Arial" w:hAnsi="Arial"/>
          <w:b/>
          <w:bCs/>
          <w:color w:val="1F3864"/>
          <w:sz w:val="24"/>
          <w:szCs w:val="24"/>
        </w:rPr>
        <w:t xml:space="preserve">SHIP MODE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Ship Mode</w:t>
            </w:r>
          </w:p>
        </w:tc>
        <w:tc>
          <w:tcPr>
            <w:tcW w:type="dxa" w:w="1755"/>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Orders</w:t>
            </w:r>
          </w:p>
        </w:tc>
        <w:tc>
          <w:tcPr>
            <w:tcW w:type="dxa" w:w="1755"/>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Avg Lead Time</w:t>
            </w:r>
          </w:p>
        </w:tc>
        <w:tc>
          <w:tcPr>
            <w:tcW w:type="dxa" w:w="1755"/>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Delay Rate</w:t>
            </w:r>
          </w:p>
        </w:tc>
        <w:tc>
          <w:tcPr>
            <w:tcW w:type="dxa" w:w="1755"/>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Avg Cost</w:t>
            </w:r>
          </w:p>
        </w:tc>
      </w:tr>
      <w:tr>
        <w:tc>
          <w:tcPr>
            <w:tcW w:type="dxa" w:w="234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Same Day</w:t>
            </w:r>
          </w:p>
        </w:tc>
        <w:tc>
          <w:tcPr>
            <w:tcW w:type="dxa" w:w="1755"/>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547 (5.4%)</w:t>
            </w:r>
          </w:p>
        </w:tc>
        <w:tc>
          <w:tcPr>
            <w:tcW w:type="dxa" w:w="1755"/>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174.38d</w:t>
            </w:r>
          </w:p>
        </w:tc>
        <w:tc>
          <w:tcPr>
            <w:tcW w:type="dxa" w:w="1755"/>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0.0% ✅</w:t>
            </w:r>
          </w:p>
        </w:tc>
        <w:tc>
          <w:tcPr>
            <w:tcW w:type="dxa" w:w="1755"/>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$4.41</w:t>
            </w:r>
          </w:p>
        </w:tc>
      </w:tr>
      <w:tr>
        <w:tc>
          <w:tcPr>
            <w:tcW w:type="dxa" w:w="23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First Class</w:t>
            </w:r>
          </w:p>
        </w:tc>
        <w:tc>
          <w:tcPr>
            <w:tcW w:type="dxa" w:w="1755"/>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1,548 (15.2%)</w:t>
            </w:r>
          </w:p>
        </w:tc>
        <w:tc>
          <w:tcPr>
            <w:tcW w:type="dxa" w:w="1755"/>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176.55d</w:t>
            </w:r>
          </w:p>
        </w:tc>
        <w:tc>
          <w:tcPr>
            <w:tcW w:type="dxa" w:w="1755"/>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0.0% ✅</w:t>
            </w:r>
          </w:p>
        </w:tc>
        <w:tc>
          <w:tcPr>
            <w:tcW w:type="dxa" w:w="1755"/>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$4.72</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Second Class</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1,979 (19.4%)</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177.57d</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0.0% ✅</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$4.83</w:t>
            </w:r>
          </w:p>
        </w:tc>
      </w:tr>
      <w:tr>
        <w:tc>
          <w:tcPr>
            <w:tcW w:type="dxa" w:w="234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Standard Class</w:t>
            </w:r>
          </w:p>
        </w:tc>
        <w:tc>
          <w:tcPr>
            <w:tcW w:type="dxa" w:w="1755"/>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6,120 (60.0%)</w:t>
            </w:r>
          </w:p>
        </w:tc>
        <w:tc>
          <w:tcPr>
            <w:tcW w:type="dxa" w:w="1755"/>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179.32d</w:t>
            </w:r>
          </w:p>
        </w:tc>
        <w:tc>
          <w:tcPr>
            <w:tcW w:type="dxa" w:w="1755"/>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17.0% ❌</w:t>
            </w:r>
          </w:p>
        </w:tc>
        <w:tc>
          <w:tcPr>
            <w:tcW w:type="dxa" w:w="1755"/>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$4.75</w:t>
            </w:r>
          </w:p>
        </w:tc>
      </w:tr>
    </w:tbl>
    <w:p>
      <w:pPr>
        <w:spacing w:before="80" w:after="80"/>
      </w:pPr>
      <w:r>
        <w:t xml:space="preserve"/>
      </w:r>
    </w:p>
    <w:p>
      <w:pPr>
        <w:pBdr>
          <w:bottom w:val="single" w:color="1F3864" w:sz="6" w:space="3"/>
        </w:pBdr>
        <w:spacing w:before="160" w:after="80"/>
      </w:pPr>
      <w:r>
        <w:rPr>
          <w:rFonts w:ascii="Arial" w:cs="Arial" w:eastAsia="Arial" w:hAnsi="Arial"/>
          <w:b/>
          <w:bCs/>
          <w:color w:val="1F3864"/>
          <w:sz w:val="24"/>
          <w:szCs w:val="24"/>
        </w:rPr>
        <w:t xml:space="preserve">STRATEGIC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864"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R1</w:t>
            </w:r>
          </w:p>
          <w:p>
            <w:pPr>
              <w:jc w:val="center"/>
            </w:pPr>
            <w:r>
              <w:rPr>
                <w:rFonts w:ascii="Arial" w:cs="Arial" w:eastAsia="Arial" w:hAnsi="Arial"/>
                <w:color w:val="FF6B6B"/>
                <w:sz w:val="14"/>
                <w:szCs w:val="14"/>
              </w:rPr>
              <w:t xml:space="preserve">HIGH</w:t>
            </w:r>
          </w:p>
        </w:tc>
        <w:tc>
          <w:tcPr>
            <w:tcW w:type="dxa" w:w="888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20"/>
            </w:tcMar>
          </w:tcPr>
          <w:p>
            <w:r>
              <w:rPr>
                <w:rFonts w:ascii="Arial" w:cs="Arial" w:eastAsia="Arial" w:hAnsi="Arial"/>
                <w:b/>
                <w:bCs/>
                <w:color w:val="C0392B"/>
                <w:sz w:val="20"/>
                <w:szCs w:val="20"/>
              </w:rPr>
              <w:t xml:space="preserve">Reduce Standard Class dependency on high-volume routes</w:t>
            </w:r>
          </w:p>
          <w:p>
            <w:pPr>
              <w:spacing w:before="35"/>
              <w:jc w:val="both"/>
            </w:pPr>
            <w:r>
              <w:rPr>
                <w:rFonts w:ascii="Times New Roman" w:cs="Times New Roman" w:eastAsia="Times New Roman" w:hAnsi="Times New Roman"/>
                <w:sz w:val="19"/>
                <w:szCs w:val="19"/>
              </w:rPr>
              <w:t xml:space="preserve">Standard Class carries 60% of orders and is responsible for 100% of delays. Upgrading high-volume routes to Second Class adds only $0.08 per order in cost but eliminates the 17.0% delay rate entirely.</w:t>
            </w:r>
          </w:p>
        </w:tc>
      </w:tr>
      <w:tr>
        <w:tc>
          <w:tcPr>
            <w:tcW w:type="dxa" w:w="480"/>
            <w:tcBorders>
              <w:top w:val="none" w:color="FFFFFF" w:sz="0"/>
              <w:left w:val="none" w:color="FFFFFF" w:sz="0"/>
              <w:bottom w:val="none" w:color="FFFFFF" w:sz="0"/>
              <w:right w:val="none" w:color="FFFFFF" w:sz="0"/>
            </w:tcBorders>
            <w:shd w:fill="27AE6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R2</w:t>
            </w:r>
          </w:p>
          <w:p>
            <w:pPr>
              <w:jc w:val="center"/>
            </w:pPr>
            <w:r>
              <w:rPr>
                <w:rFonts w:ascii="Arial" w:cs="Arial" w:eastAsia="Arial" w:hAnsi="Arial"/>
                <w:color w:val="ABEBC6"/>
                <w:sz w:val="14"/>
                <w:szCs w:val="14"/>
              </w:rPr>
              <w:t xml:space="preserve">HIGH</w:t>
            </w:r>
          </w:p>
        </w:tc>
        <w:tc>
          <w:tcPr>
            <w:tcW w:type="dxa" w:w="888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20"/>
            </w:tcMar>
          </w:tcPr>
          <w:p>
            <w:r>
              <w:rPr>
                <w:rFonts w:ascii="Arial" w:cs="Arial" w:eastAsia="Arial" w:hAnsi="Arial"/>
                <w:b/>
                <w:bCs/>
                <w:color w:val="1E8449"/>
                <w:sz w:val="20"/>
                <w:szCs w:val="20"/>
              </w:rPr>
              <w:t xml:space="preserve">Benchmark The Other Factory's operations across all facilities</w:t>
            </w:r>
          </w:p>
          <w:p>
            <w:pPr>
              <w:spacing w:before="35"/>
              <w:jc w:val="both"/>
            </w:pPr>
            <w:r>
              <w:rPr>
                <w:rFonts w:ascii="Times New Roman" w:cs="Times New Roman" w:eastAsia="Times New Roman" w:hAnsi="Times New Roman"/>
                <w:sz w:val="19"/>
                <w:szCs w:val="19"/>
              </w:rPr>
              <w:t xml:space="preserve">The Other Factory achieves an Efficiency Score of 100 and the lowest factory-level average lead time of 177.98 days. Its dispatch processes, inventory readiness, and carrier partnerships should be audited and replicated at Sugar Shack and Wicked Choccy's.</w:t>
            </w:r>
          </w:p>
        </w:tc>
      </w:tr>
      <w:tr>
        <w:tc>
          <w:tcPr>
            <w:tcW w:type="dxa" w:w="480"/>
            <w:tcBorders>
              <w:top w:val="none" w:color="FFFFFF" w:sz="0"/>
              <w:left w:val="none" w:color="FFFFFF" w:sz="0"/>
              <w:bottom w:val="none" w:color="FFFFFF" w:sz="0"/>
              <w:right w:val="none" w:color="FFFFFF" w:sz="0"/>
            </w:tcBorders>
            <w:shd w:fill="E67E22"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R3</w:t>
            </w:r>
          </w:p>
          <w:p>
            <w:pPr>
              <w:jc w:val="center"/>
            </w:pPr>
            <w:r>
              <w:rPr>
                <w:rFonts w:ascii="Arial" w:cs="Arial" w:eastAsia="Arial" w:hAnsi="Arial"/>
                <w:color w:val="FAD7A0"/>
                <w:sz w:val="14"/>
                <w:szCs w:val="14"/>
              </w:rPr>
              <w:t xml:space="preserve">MED</w:t>
            </w:r>
          </w:p>
        </w:tc>
        <w:tc>
          <w:tcPr>
            <w:tcW w:type="dxa" w:w="888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b/>
                <w:bCs/>
                <w:color w:val="D35400"/>
                <w:sz w:val="20"/>
                <w:szCs w:val="20"/>
              </w:rPr>
              <w:t xml:space="preserve">Audit Sugar Shack factory dispatch and carrier processes</w:t>
            </w:r>
          </w:p>
          <w:p>
            <w:pPr>
              <w:spacing w:before="35"/>
              <w:jc w:val="both"/>
            </w:pPr>
            <w:r>
              <w:rPr>
                <w:rFonts w:ascii="Times New Roman" w:cs="Times New Roman" w:eastAsia="Times New Roman" w:hAnsi="Times New Roman"/>
                <w:sz w:val="19"/>
                <w:szCs w:val="19"/>
              </w:rPr>
              <w:t xml:space="preserve">Sugar Shack is the slowest factory at 178.67 days average lead time and its Atlantic route scores 0 in efficiency. An internal review of dispatch scheduling and carrier SLAs is recommended as a priority action.</w:t>
            </w:r>
          </w:p>
        </w:tc>
      </w:tr>
      <w:tr>
        <w:tc>
          <w:tcPr>
            <w:tcW w:type="dxa" w:w="48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R4</w:t>
            </w:r>
          </w:p>
          <w:p>
            <w:pPr>
              <w:jc w:val="center"/>
            </w:pPr>
            <w:r>
              <w:rPr>
                <w:rFonts w:ascii="Arial" w:cs="Arial" w:eastAsia="Arial" w:hAnsi="Arial"/>
                <w:color w:val="AED6F1"/>
                <w:sz w:val="14"/>
                <w:szCs w:val="14"/>
              </w:rPr>
              <w:t xml:space="preserve">MED</w:t>
            </w:r>
          </w:p>
        </w:tc>
        <w:tc>
          <w:tcPr>
            <w:tcW w:type="dxa" w:w="888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20"/>
            </w:tcMar>
          </w:tcPr>
          <w:p>
            <w:r>
              <w:rPr>
                <w:rFonts w:ascii="Arial" w:cs="Arial" w:eastAsia="Arial" w:hAnsi="Arial"/>
                <w:b/>
                <w:bCs/>
                <w:color w:val="1A5276"/>
                <w:sz w:val="20"/>
                <w:szCs w:val="20"/>
              </w:rPr>
              <w:t xml:space="preserve">Address high-risk geographic bottleneck states</w:t>
            </w:r>
          </w:p>
          <w:p>
            <w:pPr>
              <w:spacing w:before="35"/>
              <w:jc w:val="both"/>
            </w:pPr>
            <w:r>
              <w:rPr>
                <w:rFonts w:ascii="Times New Roman" w:cs="Times New Roman" w:eastAsia="Times New Roman" w:hAnsi="Times New Roman"/>
                <w:sz w:val="19"/>
                <w:szCs w:val="19"/>
              </w:rPr>
              <w:t xml:space="preserve">States with high order volume and above-average lead times represent the greatest delivery risk. Dedicated carrier agreements or regional distribution points should be explored for the top 5 bottleneck states identified in the geographic analysis.</w:t>
            </w:r>
          </w:p>
        </w:tc>
      </w:tr>
      <w:tr>
        <w:tc>
          <w:tcPr>
            <w:tcW w:type="dxa" w:w="480"/>
            <w:tcBorders>
              <w:top w:val="none" w:color="FFFFFF" w:sz="0"/>
              <w:left w:val="none" w:color="FFFFFF" w:sz="0"/>
              <w:bottom w:val="none" w:color="FFFFFF" w:sz="0"/>
              <w:right w:val="none" w:color="FFFFFF" w:sz="0"/>
            </w:tcBorders>
            <w:shd w:fill="7D3C98"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R5</w:t>
            </w:r>
          </w:p>
          <w:p>
            <w:pPr>
              <w:jc w:val="center"/>
            </w:pPr>
            <w:r>
              <w:rPr>
                <w:rFonts w:ascii="Arial" w:cs="Arial" w:eastAsia="Arial" w:hAnsi="Arial"/>
                <w:color w:val="D7BDE2"/>
                <w:sz w:val="14"/>
                <w:szCs w:val="14"/>
              </w:rPr>
              <w:t xml:space="preserve">LOW</w:t>
            </w:r>
          </w:p>
        </w:tc>
        <w:tc>
          <w:tcPr>
            <w:tcW w:type="dxa" w:w="888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20"/>
            </w:tcMar>
          </w:tcPr>
          <w:p>
            <w:r>
              <w:rPr>
                <w:rFonts w:ascii="Arial" w:cs="Arial" w:eastAsia="Arial" w:hAnsi="Arial"/>
                <w:b/>
                <w:bCs/>
                <w:color w:val="6C3483"/>
                <w:sz w:val="20"/>
                <w:szCs w:val="20"/>
              </w:rPr>
              <w:t xml:space="preserve">Establish monthly KPI monitoring with escalation protocol</w:t>
            </w:r>
          </w:p>
          <w:p>
            <w:pPr>
              <w:spacing w:before="35"/>
              <w:jc w:val="both"/>
            </w:pPr>
            <w:r>
              <w:rPr>
                <w:rFonts w:ascii="Times New Roman" w:cs="Times New Roman" w:eastAsia="Times New Roman" w:hAnsi="Times New Roman"/>
                <w:sz w:val="19"/>
                <w:szCs w:val="19"/>
              </w:rPr>
              <w:t xml:space="preserve">Track delay rate monthly using the dashboard's monthly trend chart. If the rate exceeds 12%, a mandatory logistics review should be triggered. The current baseline is 10.25%.</w:t>
            </w:r>
          </w:p>
        </w:tc>
      </w:tr>
    </w:tbl>
    <w:p>
      <w:pPr>
        <w:spacing w:before="80" w:after="80"/>
      </w:pPr>
      <w:r>
        <w:t xml:space="preserve"/>
      </w:r>
    </w:p>
    <w:p>
      <w:pPr>
        <w:pBdr>
          <w:bottom w:val="single" w:color="1F3864" w:sz="6" w:space="3"/>
        </w:pBdr>
        <w:spacing w:before="160" w:after="80"/>
      </w:pPr>
      <w:r>
        <w:rPr>
          <w:rFonts w:ascii="Arial" w:cs="Arial" w:eastAsia="Arial" w:hAnsi="Arial"/>
          <w:b/>
          <w:bCs/>
          <w:color w:val="1F3864"/>
          <w:sz w:val="24"/>
          <w:szCs w:val="24"/>
        </w:rPr>
        <w:t xml:space="preserve">DASHBOARD OVERVIEW</w:t>
      </w:r>
    </w:p>
    <w:p>
      <w:pPr>
        <w:spacing w:before="55" w:after="55"/>
        <w:jc w:val="both"/>
      </w:pPr>
      <w:r>
        <w:rPr>
          <w:rFonts w:ascii="Times New Roman" w:cs="Times New Roman" w:eastAsia="Times New Roman" w:hAnsi="Times New Roman"/>
          <w:b w:val="false"/>
          <w:bCs w:val="false"/>
          <w:i w:val="false"/>
          <w:iCs w:val="false"/>
          <w:sz w:val="20"/>
          <w:szCs w:val="20"/>
        </w:rPr>
        <w:t xml:space="preserve">The Nassau Candy Shipping Intelligence dashboard (Version 1.1) is a Streamlit application providing 4 interactive pages. All pages share 6 real-time sidebar filters: Order Date Range, Region, State, Factory, Ship Mode, and Max Lead Time slider.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Page</w:t>
            </w:r>
          </w:p>
        </w:tc>
        <w:tc>
          <w:tcPr>
            <w:tcW w:type="dxa" w:w="70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What It Shows</w:t>
            </w:r>
          </w:p>
        </w:tc>
      </w:tr>
      <w:tr>
        <w:tc>
          <w:tcPr>
            <w:tcW w:type="dxa" w:w="23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Route Efficiency Overview</w:t>
            </w:r>
          </w:p>
        </w:tc>
        <w:tc>
          <w:tcPr>
            <w:tcW w:type="dxa" w:w="702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 KPI cards, Top 10 fastest routes (green bars), Bottom 10 slowest routes (red bars), full leaderboard table with Efficiency Scores 0–100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Geographic Analysis</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Factory × Region heatmap (seaborn RdYlGn_r), Lead Time by Region bar chart, State-level bottleneck scatter plot</w:t>
            </w:r>
          </w:p>
        </w:tc>
      </w:tr>
      <w:tr>
        <w:tc>
          <w:tcPr>
            <w:tcW w:type="dxa" w:w="23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Ship Mode Comparison</w:t>
            </w:r>
          </w:p>
        </w:tc>
        <w:tc>
          <w:tcPr>
            <w:tcW w:type="dxa" w:w="702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Per-mode metric cards, Lead Time / Delay Rate / Cost bar charts (3 columns), Lead Time boxplot, Monthly trend (line + bar dual chart)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Route Drill-Down</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Product lead time chart (xlim 170–186), Division &amp; Factory charts, 300-row order table, CSV download button</w:t>
            </w:r>
          </w:p>
        </w:tc>
      </w:tr>
    </w:tbl>
    <w:p>
      <w:pPr>
        <w:spacing w:before="80" w:after="80"/>
      </w:pPr>
      <w:r>
        <w:t xml:space="preserve"/>
      </w:r>
    </w:p>
    <w:p>
      <w:pPr>
        <w:pBdr>
          <w:bottom w:val="single" w:color="1F3864" w:sz="6" w:space="3"/>
        </w:pBdr>
        <w:spacing w:before="160" w:after="80"/>
      </w:pPr>
      <w:r>
        <w:rPr>
          <w:rFonts w:ascii="Arial" w:cs="Arial" w:eastAsia="Arial" w:hAnsi="Arial"/>
          <w:b/>
          <w:bCs/>
          <w:color w:val="1F3864"/>
          <w:sz w:val="24"/>
          <w:szCs w:val="24"/>
        </w:rPr>
        <w:t xml:space="preserve">CLOSING STATEMENT</w:t>
      </w:r>
    </w:p>
    <w:p>
      <w:pPr>
        <w:spacing w:before="55" w:after="55"/>
        <w:jc w:val="both"/>
      </w:pPr>
      <w:r>
        <w:rPr>
          <w:rFonts w:ascii="Times New Roman" w:cs="Times New Roman" w:eastAsia="Times New Roman" w:hAnsi="Times New Roman"/>
          <w:b w:val="false"/>
          <w:bCs w:val="false"/>
          <w:i w:val="false"/>
          <w:iCs w:val="false"/>
          <w:sz w:val="20"/>
          <w:szCs w:val="20"/>
        </w:rPr>
        <w:t xml:space="preserve">This analysis reveals a clear, actionable path to improving Nassau Candy Distributor's shipping performance. The single highest-impact action is reducing reliance on Standard Class shipping, which accounts for all recorded delays while carrying the majority of order volume. Combined with operational improvements at Sugar Shack factory and geographic capacity investments, the organization can realistically achieve near-zero delays across its entire distribution network.</w:t>
      </w:r>
    </w:p>
    <w:p>
      <w:pPr>
        <w:spacing w:before="40" w:after="40"/>
      </w:pPr>
      <w:r>
        <w:t xml:space="preserve"/>
      </w:r>
    </w:p>
    <w:p>
      <w:pPr>
        <w:spacing w:before="55" w:after="55"/>
        <w:jc w:val="both"/>
      </w:pPr>
      <w:r>
        <w:rPr>
          <w:rFonts w:ascii="Times New Roman" w:cs="Times New Roman" w:eastAsia="Times New Roman" w:hAnsi="Times New Roman"/>
          <w:b w:val="false"/>
          <w:bCs w:val="false"/>
          <w:i w:val="false"/>
          <w:iCs w:val="false"/>
          <w:color w:val="000000"/>
          <w:sz w:val="20"/>
          <w:szCs w:val="20"/>
        </w:rPr>
        <w:t xml:space="preserve">The full interactive dashboard, detailed research paper, and source code are available as part of this internship submission. For questions, please contact </w:t>
      </w:r>
      <w:r>
        <w:rPr>
          <w:rFonts w:ascii="Times New Roman" w:cs="Times New Roman" w:eastAsia="Times New Roman" w:hAnsi="Times New Roman"/>
          <w:b/>
          <w:bCs/>
          <w:i w:val="false"/>
          <w:iCs w:val="false"/>
          <w:color w:val="000000"/>
          <w:sz w:val="20"/>
          <w:szCs w:val="20"/>
        </w:rPr>
        <w:t xml:space="preserve">Lakshmi Mahitha Noudu</w:t>
      </w:r>
      <w:r>
        <w:rPr>
          <w:rFonts w:ascii="Times New Roman" w:cs="Times New Roman" w:eastAsia="Times New Roman" w:hAnsi="Times New Roman"/>
          <w:b w:val="false"/>
          <w:bCs w:val="false"/>
          <w:i w:val="false"/>
          <w:iCs w:val="false"/>
          <w:color w:val="000000"/>
          <w:sz w:val="20"/>
          <w:szCs w:val="20"/>
        </w:rPr>
        <w:t xml:space="preserve"> via LinkedIn or through Unified Mentor.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300"/>
              <w:bottom w:type="dxa" w:w="120"/>
              <w:right w:type="dxa" w:w="300"/>
            </w:tcMar>
          </w:tcPr>
          <w:p>
            <w:pPr>
              <w:jc w:val="center"/>
            </w:pPr>
            <w:r>
              <w:rPr>
                <w:rFonts w:ascii="Arial" w:cs="Arial" w:eastAsia="Arial" w:hAnsi="Arial"/>
                <w:color w:val="C9A84C"/>
                <w:sz w:val="17"/>
                <w:szCs w:val="17"/>
              </w:rPr>
              <w:t xml:space="preserve">Unified Mentor  |  Mentored by Sai Prasad Kagne  |  Created by Lakshmi Mahitha Noudu  |  Version 1.1  |  March 2026</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jc w:val="center"/>
    </w:pPr>
    <w:r>
      <w:rPr>
        <w:rFonts w:ascii="Arial" w:cs="Arial" w:eastAsia="Arial" w:hAnsi="Arial"/>
        <w:color w:val="666666"/>
        <w:sz w:val="17"/>
        <w:szCs w:val="17"/>
      </w:rPr>
      <w:t xml:space="preserve">Created by Lakshmi Mahitha Noudu  |  Mentored by Sai Prasad Kagne  |  Unified Mentor  |  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of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jc w:val="center"/>
    </w:pPr>
    <w:r>
      <w:rPr>
        <w:rFonts w:ascii="Arial" w:cs="Arial" w:eastAsia="Arial" w:hAnsi="Arial"/>
        <w:color w:val="1F3864"/>
        <w:sz w:val="18"/>
        <w:szCs w:val="18"/>
      </w:rPr>
      <w:t xml:space="preserve">Nassau Candy Distributor  |  Shipping Intelligence — Executive Summary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2026-03-23T05:54:28.939Z</dcterms:created>
  <dcterms:modified xsi:type="dcterms:W3CDTF">2026-03-23T05:54:28.940Z</dcterms:modified>
</cp:coreProperties>
</file>

<file path=docProps/custom.xml><?xml version="1.0" encoding="utf-8"?>
<Properties xmlns="http://schemas.openxmlformats.org/officeDocument/2006/custom-properties" xmlns:vt="http://schemas.openxmlformats.org/officeDocument/2006/docPropsVTypes"/>
</file>