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29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ONLINE COMPLAINT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0F">
            <w:pPr>
              <w:spacing w:after="60"/>
              <w:rPr>
                <w:b w:val="1"/>
              </w:rPr>
            </w:pPr>
            <w:r w:rsidDel="00000000" w:rsidR="00000000" w:rsidRPr="00000000">
              <w:rPr>
                <w:b/>
                <w:sz w:val="19"/>
                <w:rtl w:val="0"/>
              </w:rPr>
              <w:t xml:space="preserve">FR No.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0">
            <w:pPr>
              <w:spacing w:after="60"/>
              <w:rPr>
                <w:b w:val="1"/>
              </w:rPr>
            </w:pPr>
            <w:r w:rsidDel="00000000" w:rsidR="00000000" w:rsidRPr="00000000">
              <w:rPr>
                <w:b/>
                <w:sz w:val="19"/>
                <w:rtl w:val="0"/>
              </w:rPr>
              <w:t xml:space="preserve">Functional Requirement (Epic)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1">
            <w:pPr>
              <w:spacing w:after="60"/>
              <w:rPr>
                <w:b w:val="1"/>
              </w:rPr>
            </w:pPr>
            <w:r w:rsidDel="00000000" w:rsidR="00000000" w:rsidRPr="00000000">
              <w:rPr>
                <w:b/>
                <w:sz w:val="19"/>
                <w:rtl w:val="0"/>
              </w:rPr>
              <w:t xml:space="preserve">Sub Requirement (Story / Sub-Task)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FR-1</w:t>
            </w:r>
          </w:p>
        </w:tc>
        <w:tc>
          <w:tcPr>
            <w:tcW w:type="dxa" w:w="3150"/>
          </w:tcPr>
          <w:p>
            <w:pPr>
              <w:spacing w:after="60"/>
            </w:pPr>
            <w:r>
              <w:rPr>
                <w:b w:val="0"/>
                <w:sz w:val="19"/>
              </w:rPr>
              <w:t>User Registration &amp; Authentication</w:t>
            </w:r>
          </w:p>
        </w:tc>
        <w:tc>
          <w:tcPr>
            <w:tcW w:type="dxa" w:w="5248"/>
          </w:tcPr>
          <w:p>
            <w:pPr>
              <w:spacing w:after="60"/>
            </w:pPr>
            <w:r>
              <w:rPr>
                <w:b w:val="0"/>
                <w:sz w:val="19"/>
              </w:rPr>
              <w:t>User can register with name, email, password, and role (USER/AGENT)</w:t>
              <w:br/>
              <w:t>Password is hashed using bcryptjs before storage</w:t>
              <w:br/>
              <w:t>User receives a JWT token on successful login</w:t>
              <w:br/>
              <w:t>Role-based route protection restricts dashboard access by role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FR-2</w:t>
            </w:r>
          </w:p>
        </w:tc>
        <w:tc>
          <w:tcPr>
            <w:tcW w:type="dxa" w:w="3150"/>
          </w:tcPr>
          <w:p>
            <w:pPr>
              <w:spacing w:after="60"/>
            </w:pPr>
            <w:r>
              <w:rPr>
                <w:b w:val="0"/>
                <w:sz w:val="19"/>
              </w:rPr>
              <w:t>Complaint Submission &amp; Tracking</w:t>
            </w:r>
          </w:p>
        </w:tc>
        <w:tc>
          <w:tcPr>
            <w:tcW w:type="dxa" w:w="5248"/>
          </w:tcPr>
          <w:p>
            <w:pPr>
              <w:spacing w:after="60"/>
            </w:pPr>
            <w:r>
              <w:rPr>
                <w:b w:val="0"/>
                <w:sz w:val="19"/>
              </w:rPr>
              <w:t>User can submit a complaint with title, description, category, and priority</w:t>
              <w:br/>
              <w:t>Complaint status lifecycle: PENDING → ASSIGNED → IN_PROGRESS → RESOLVED → CLOSED</w:t>
              <w:br/>
              <w:t>User can view all their own complaints with current status badges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FR-3</w:t>
            </w:r>
          </w:p>
        </w:tc>
        <w:tc>
          <w:tcPr>
            <w:tcW w:type="dxa" w:w="3150"/>
          </w:tcPr>
          <w:p>
            <w:pPr>
              <w:spacing w:after="60"/>
            </w:pPr>
            <w:r>
              <w:rPr>
                <w:b w:val="0"/>
                <w:sz w:val="19"/>
              </w:rPr>
              <w:t>Agent Assignment &amp; Resolution Workflow</w:t>
            </w:r>
          </w:p>
        </w:tc>
        <w:tc>
          <w:tcPr>
            <w:tcW w:type="dxa" w:w="5248"/>
          </w:tcPr>
          <w:p>
            <w:pPr>
              <w:spacing w:after="60"/>
            </w:pPr>
            <w:r>
              <w:rPr>
                <w:b w:val="0"/>
                <w:sz w:val="19"/>
              </w:rPr>
              <w:t>Admin can view all complaints and assign any agent using a dropdown</w:t>
              <w:br/>
              <w:t>Assignment changes status to ASSIGNED</w:t>
              <w:br/>
              <w:t>Agent can update complaint status and add a resolution note</w:t>
              <w:br/>
              <w:t>Agent dashboard shows only assigned complaints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FR-4</w:t>
            </w:r>
          </w:p>
        </w:tc>
        <w:tc>
          <w:tcPr>
            <w:tcW w:type="dxa" w:w="3150"/>
          </w:tcPr>
          <w:p>
            <w:pPr>
              <w:spacing w:after="60"/>
            </w:pPr>
            <w:r>
              <w:rPr>
                <w:b w:val="0"/>
                <w:sz w:val="19"/>
              </w:rPr>
              <w:t>Real-time Chat (User ↔ Agent)</w:t>
            </w:r>
          </w:p>
        </w:tc>
        <w:tc>
          <w:tcPr>
            <w:tcW w:type="dxa" w:w="5248"/>
          </w:tcPr>
          <w:p>
            <w:pPr>
              <w:spacing w:after="60"/>
            </w:pPr>
            <w:r>
              <w:rPr>
                <w:b w:val="0"/>
                <w:sz w:val="19"/>
              </w:rPr>
              <w:t>Authenticated Socket.io connection using the same JWT as REST API</w:t>
              <w:br/>
              <w:t>User and agent join a complaint-specific Socket.io room</w:t>
              <w:br/>
              <w:t>Messages are stored in MongoDB and delivered instantly via WebSocket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FR-5</w:t>
            </w:r>
          </w:p>
        </w:tc>
        <w:tc>
          <w:tcPr>
            <w:tcW w:type="dxa" w:w="3150"/>
          </w:tcPr>
          <w:p>
            <w:pPr>
              <w:spacing w:after="60"/>
            </w:pPr>
            <w:r>
              <w:rPr>
                <w:b w:val="0"/>
                <w:sz w:val="19"/>
              </w:rPr>
              <w:t>Feedback &amp; Rating</w:t>
            </w:r>
          </w:p>
        </w:tc>
        <w:tc>
          <w:tcPr>
            <w:tcW w:type="dxa" w:w="5248"/>
          </w:tcPr>
          <w:p>
            <w:pPr>
              <w:spacing w:after="60"/>
            </w:pPr>
            <w:r>
              <w:rPr>
                <w:b w:val="0"/>
                <w:sz w:val="19"/>
              </w:rPr>
              <w:t>User can submit a 1–5 star rating and comment after complaint is resolved</w:t>
              <w:br/>
              <w:t>Feedback is linked to the complaint and the agent who resolved it</w:t>
              <w:br/>
              <w:t>Admin analytics dashboard displays average satisfaction rating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FR-6</w:t>
            </w:r>
          </w:p>
        </w:tc>
        <w:tc>
          <w:tcPr>
            <w:tcW w:type="dxa" w:w="3150"/>
          </w:tcPr>
          <w:p>
            <w:pPr>
              <w:spacing w:after="60"/>
            </w:pPr>
            <w:r>
              <w:rPr>
                <w:b w:val="0"/>
                <w:sz w:val="19"/>
              </w:rPr>
              <w:t>Admin Analytics Dashboard</w:t>
            </w:r>
          </w:p>
        </w:tc>
        <w:tc>
          <w:tcPr>
            <w:tcW w:type="dxa" w:w="5248"/>
          </w:tcPr>
          <w:p>
            <w:pPr>
              <w:spacing w:after="60"/>
            </w:pPr>
            <w:r>
              <w:rPr>
                <w:b w:val="0"/>
                <w:sz w:val="19"/>
              </w:rPr>
              <w:t>Admin can view total users, agents, complaints, and average satisfaction</w:t>
              <w:br/>
              <w:t>Status distribution displayed as a pie/donut chart</w:t>
              <w:br/>
              <w:t>Complaints-by-category displayed as a bar chart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2C">
            <w:pPr>
              <w:spacing w:after="60"/>
              <w:rPr>
                <w:b w:val="1"/>
              </w:rPr>
            </w:pPr>
            <w:r w:rsidDel="00000000" w:rsidR="00000000" w:rsidRPr="00000000">
              <w:rPr>
                <w:b/>
                <w:sz w:val="19"/>
                <w:rtl w:val="0"/>
              </w:rPr>
              <w:t xml:space="preserve">FR No.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2D">
            <w:pPr>
              <w:spacing w:after="60"/>
              <w:rPr>
                <w:b w:val="1"/>
              </w:rPr>
            </w:pPr>
            <w:r w:rsidDel="00000000" w:rsidR="00000000" w:rsidRPr="00000000">
              <w:rPr>
                <w:b/>
                <w:sz w:val="19"/>
                <w:rtl w:val="0"/>
              </w:rPr>
              <w:t xml:space="preserve">Non-Functional Requirement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2E">
            <w:pPr>
              <w:spacing w:after="60"/>
              <w:rPr>
                <w:b w:val="1"/>
              </w:rPr>
            </w:pPr>
            <w:r w:rsidDel="00000000" w:rsidR="00000000" w:rsidRPr="00000000">
              <w:rPr>
                <w:b/>
                <w:sz w:val="19"/>
                <w:rtl w:val="0"/>
              </w:rPr>
              <w:t xml:space="preserve">Description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NFR-1</w:t>
            </w:r>
          </w:p>
        </w:tc>
        <w:tc>
          <w:tcPr>
            <w:tcW w:type="dxa" w:w="3464"/>
          </w:tcPr>
          <w:p>
            <w:pPr>
              <w:spacing w:after="60"/>
            </w:pPr>
            <w:r>
              <w:rPr>
                <w:b w:val="0"/>
                <w:sz w:val="19"/>
              </w:rPr>
              <w:t>Usability</w:t>
            </w:r>
          </w:p>
        </w:tc>
        <w:tc>
          <w:tcPr>
            <w:tcW w:type="dxa" w:w="4934"/>
          </w:tcPr>
          <w:p>
            <w:pPr>
              <w:spacing w:after="60"/>
            </w:pPr>
            <w:r>
              <w:rPr>
                <w:b w:val="0"/>
                <w:sz w:val="19"/>
              </w:rPr>
              <w:t>Responsive UI built with React + Vite + Material UI; works on desktop, laptop, and tablet screens without horizontal scrolling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NFR-2</w:t>
            </w:r>
          </w:p>
        </w:tc>
        <w:tc>
          <w:tcPr>
            <w:tcW w:type="dxa" w:w="3464"/>
          </w:tcPr>
          <w:p>
            <w:pPr>
              <w:spacing w:after="60"/>
            </w:pPr>
            <w:r>
              <w:rPr>
                <w:b w:val="0"/>
                <w:sz w:val="19"/>
              </w:rPr>
              <w:t>Security</w:t>
            </w:r>
          </w:p>
        </w:tc>
        <w:tc>
          <w:tcPr>
            <w:tcW w:type="dxa" w:w="4934"/>
          </w:tcPr>
          <w:p>
            <w:pPr>
              <w:spacing w:after="60"/>
            </w:pPr>
            <w:r>
              <w:rPr>
                <w:b w:val="0"/>
                <w:sz w:val="19"/>
              </w:rPr>
              <w:t>Passwords hashed with bcryptjs (salt rounds: 10); JWT tokens expire in 7 days; Helmet.js sets secure HTTP headers; CORS restricted to the known frontend origin; role-based middleware rejects unauthorized API calls with HTTP 403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NFR-3</w:t>
            </w:r>
          </w:p>
        </w:tc>
        <w:tc>
          <w:tcPr>
            <w:tcW w:type="dxa" w:w="3464"/>
          </w:tcPr>
          <w:p>
            <w:pPr>
              <w:spacing w:after="60"/>
            </w:pPr>
            <w:r>
              <w:rPr>
                <w:b w:val="0"/>
                <w:sz w:val="19"/>
              </w:rPr>
              <w:t>Reliability</w:t>
            </w:r>
          </w:p>
        </w:tc>
        <w:tc>
          <w:tcPr>
            <w:tcW w:type="dxa" w:w="4934"/>
          </w:tcPr>
          <w:p>
            <w:pPr>
              <w:spacing w:after="60"/>
            </w:pPr>
            <w:r>
              <w:rPr>
                <w:b w:val="0"/>
                <w:sz w:val="19"/>
              </w:rPr>
              <w:t>Centralized Express error handler returns consistent JSON error responses; Mongoose validation prevents malformed data from reaching the database; Nodemon auto-restarts server on crash during development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NFR-4</w:t>
            </w:r>
          </w:p>
        </w:tc>
        <w:tc>
          <w:tcPr>
            <w:tcW w:type="dxa" w:w="3464"/>
          </w:tcPr>
          <w:p>
            <w:pPr>
              <w:spacing w:after="60"/>
            </w:pPr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4934"/>
          </w:tcPr>
          <w:p>
            <w:pPr>
              <w:spacing w:after="60"/>
            </w:pPr>
            <w:r>
              <w:rPr>
                <w:b w:val="0"/>
                <w:sz w:val="19"/>
              </w:rPr>
              <w:t>MongoDB indexes on status and email fields for fast querying; Socket.io rooms limit message delivery to only relevant participants; React lazy-loading and Vite tree-shaking minimize frontend bundle size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NFR-5</w:t>
            </w:r>
          </w:p>
        </w:tc>
        <w:tc>
          <w:tcPr>
            <w:tcW w:type="dxa" w:w="3464"/>
          </w:tcPr>
          <w:p>
            <w:pPr>
              <w:spacing w:after="60"/>
            </w:pPr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4934"/>
          </w:tcPr>
          <w:p>
            <w:pPr>
              <w:spacing w:after="60"/>
            </w:pPr>
            <w:r>
              <w:rPr>
                <w:b w:val="0"/>
                <w:sz w:val="19"/>
              </w:rPr>
              <w:t>Local MongoDB instance provides consistent uptime during demos; all environment variables externalized in .env so the project can be switched from local to Atlas without code changes</w:t>
            </w:r>
          </w:p>
        </w:tc>
      </w:tr>
      <w:tr>
        <w:tc>
          <w:tcPr>
            <w:tcW w:type="dxa" w:w="926"/>
          </w:tcPr>
          <w:p>
            <w:pPr>
              <w:spacing w:after="60"/>
            </w:pPr>
            <w:r>
              <w:rPr>
                <w:b w:val="0"/>
                <w:sz w:val="19"/>
              </w:rPr>
              <w:t>NFR-6</w:t>
            </w:r>
          </w:p>
        </w:tc>
        <w:tc>
          <w:tcPr>
            <w:tcW w:type="dxa" w:w="3464"/>
          </w:tcPr>
          <w:p>
            <w:pPr>
              <w:spacing w:after="60"/>
            </w:pPr>
            <w:r>
              <w:rPr>
                <w:b w:val="0"/>
                <w:sz w:val="19"/>
              </w:rPr>
              <w:t>Scalability</w:t>
            </w:r>
          </w:p>
        </w:tc>
        <w:tc>
          <w:tcPr>
            <w:tcW w:type="dxa" w:w="4934"/>
          </w:tcPr>
          <w:p>
            <w:pPr>
              <w:spacing w:after="60"/>
            </w:pPr>
            <w:r>
              <w:rPr>
                <w:b w:val="0"/>
                <w:sz w:val="19"/>
              </w:rPr>
              <w:t>Stateless REST API (JWT, no server-side sessions) allows horizontal scaling behind a load balancer; MongoDB can be migrated to Atlas replica sets; Socket.io supports Redis adapter for multi-instance WebSocket scaling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