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Design Phase-II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Technology Stack (Architecture &amp; Stack)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29 June 2026</w:t>
            </w:r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ONLINE COMPLAINT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Technical Architecture: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The Deliverable shall include the architectural diagram as below and the information as per the table1 &amp; table 2</w:t>
      </w:r>
    </w:p>
    <w:p>
      <w:r>
        <w:rPr>
          <w:b/>
        </w:rPr>
        <w:t>Architecture Diagram - ResolveHub (Online Complaint Registration)</w:t>
      </w:r>
    </w:p>
    <w:p>
      <w:r>
        <w:drawing>
          <wp:inline>
            <wp:extent cx="5303520" cy="335898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8986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000000" w:rsidDel="00000000" w:rsidP="00000000" w:rsidRDefault="00000000" w:rsidRPr="00000000" w14:paraId="0000000F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Example: Order processing during pandemics for offline mode</w:t>
      </w:r>
    </w:p>
    <w:p w:rsidR="00000000" w:rsidDel="00000000" w:rsidP="00000000" w:rsidRDefault="00000000" w:rsidRPr="00000000" w14:paraId="00000010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Reference: </w:t>
      </w:r>
      <w:hyperlink r:id="rId7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https://developer.ibm.com/patterns/ai-powered-backend-system-for-order-processing-during-pandemics/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160" w:before="0" w:line="258.99999618530273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Guidelines: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Include all the processes (As an application logic / Technology Block)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Provide infrastructural demarcation (Local / Cloud)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external interfaces (third party API’s etc.)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Data Storage components / services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360" w:right="0" w:firstLine="72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Arial" w:cs="Arial" w:eastAsia="Arial" w:hAnsi="Arial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Indicate interface to machine learning models (if applicable)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4275138</wp:posOffset>
                </wp:positionH>
                <wp:positionV relativeFrom="paragraph">
                  <wp:posOffset>185738</wp:posOffset>
                </wp:positionV>
                <wp:extent cx="4778375" cy="2651125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8375" cy="26511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</wp:posOffset>
            </wp:positionH>
            <wp:positionV relativeFrom="paragraph">
              <wp:posOffset>0</wp:posOffset>
            </wp:positionV>
            <wp:extent cx="4326550" cy="2482850"/>
            <wp:effectExtent b="0" l="0" r="0" t="0"/>
            <wp:wrapSquare wrapText="bothSides" distB="0" distT="0" distL="114300" distR="114300"/>
            <wp:docPr descr="flow" id="2" name="image1.png"/>
            <a:graphic>
              <a:graphicData uri="http://schemas.openxmlformats.org/drawingml/2006/picture">
                <pic:pic>
                  <pic:nvPicPr>
                    <pic:cNvPr descr="flow"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ab/>
        <w:tab/>
        <w:tab/>
        <w:br w:type="textWrapping"/>
      </w:r>
    </w:p>
    <w:p w:rsidR="00000000" w:rsidDel="00000000" w:rsidP="00000000" w:rsidRDefault="00000000" w:rsidRPr="00000000" w14:paraId="00000014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Table-1 : Components &amp; Technologies:</w:t>
      </w:r>
    </w:p>
    <w:tbl>
      <w:tblPr>
        <w:tblStyle w:val="Table2"/>
        <w:tblW w:w="142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0"/>
        <w:gridCol w:w="3930"/>
        <w:gridCol w:w="5205"/>
        <w:gridCol w:w="4140"/>
        <w:tblGridChange w:id="0">
          <w:tblGrid>
            <w:gridCol w:w="930"/>
            <w:gridCol w:w="3930"/>
            <w:gridCol w:w="5205"/>
            <w:gridCol w:w="4140"/>
          </w:tblGrid>
        </w:tblGridChange>
      </w:tblGrid>
      <w:tr>
        <w:trPr>
          <w:cantSplit w:val="0"/>
          <w:trHeight w:val="398" w:hRule="atLeast"/>
          <w:tblHeader w:val="0"/>
        </w:trPr>
        <w:tc>
          <w:tcPr>
            <w:shd w:val="clear" w:color="auto" w:fill="BFBFBF"/>
          </w:tcPr>
          <w:p w:rsidR="00000000" w:rsidDel="00000000" w:rsidP="00000000" w:rsidRDefault="00000000" w:rsidRPr="00000000" w14:paraId="0000001D">
            <w:pPr>
              <w:tabs>
                <w:tab w:val="left" w:leader="none" w:pos="2320"/>
              </w:tabs>
              <w:spacing w:after="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rtl w:val="0"/>
              </w:rPr>
              <w:t xml:space="preserve">S.No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E">
            <w:pPr>
              <w:tabs>
                <w:tab w:val="left" w:leader="none" w:pos="2320"/>
              </w:tabs>
              <w:spacing w:after="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rtl w:val="0"/>
              </w:rPr>
              <w:t xml:space="preserve">Component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F">
            <w:pPr>
              <w:tabs>
                <w:tab w:val="left" w:leader="none" w:pos="2320"/>
              </w:tabs>
              <w:spacing w:after="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rtl w:val="0"/>
              </w:rPr>
              <w:t xml:space="preserve">Description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20">
            <w:pPr>
              <w:tabs>
                <w:tab w:val="left" w:leader="none" w:pos="2320"/>
              </w:tabs>
              <w:spacing w:after="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rtl w:val="0"/>
              </w:rPr>
              <w:t xml:space="preserve">Technology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User Interface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Single-page application rendered in the browser, providing role-specific dashboards for User, Agent, and Admin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React.js 18 + Vite + Material UI (MUI)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Frontend State Management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Global state for authenticated user and complaint context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React Context API (AuthContext, ComplaintContext)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Frontend HTTP Client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Makes authenticated REST API calls with JWT bearer token injected via Axios interceptor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Axios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Frontend Routing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Client-side routing with role-based protected routes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React Router DOM v6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Application Logic – REST API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Handles authentication, complaint CRUD, agent assignment, feedback, and admin analytics via RESTful endpoints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Node.js + Express.js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Application Logic – Real-time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Manages WebSocket connections for live chat between user and assigned agent, authenticated via JWT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Socket.io v4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Authentication &amp; Security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JWT token generation/verification, password hashing, and HTTP security headers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jsonwebtoken, bcryptjs, Helmet.js, CORS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Email Notifications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Sends email alerts on complaint assignment and resolution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Nodemailer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API Logging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Logs all incoming HTTP requests in development mode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Morgan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Database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NoSQL document store for users, complaints, agents, feedback, and messages with Mongoose ODM for schema validation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MongoDB (local) + Mongoose</w:t>
            </w:r>
          </w:p>
        </w:tc>
      </w:tr>
      <w:tr>
        <w:tc>
          <w:tcPr>
            <w:tcW w:type="dxa" w:w="930"/>
          </w:tcPr>
          <w:p>
            <w:pPr>
              <w:spacing w:after="6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3930"/>
          </w:tcPr>
          <w:p>
            <w:pPr>
              <w:spacing w:after="60"/>
            </w:pPr>
            <w:r>
              <w:rPr>
                <w:b w:val="0"/>
                <w:sz w:val="19"/>
              </w:rPr>
              <w:t>Infrastructure (Server)</w:t>
            </w:r>
          </w:p>
        </w:tc>
        <w:tc>
          <w:tcPr>
            <w:tcW w:type="dxa" w:w="5205"/>
          </w:tcPr>
          <w:p>
            <w:pPr>
              <w:spacing w:after="60"/>
            </w:pPr>
            <w:r>
              <w:rPr>
                <w:b w:val="0"/>
                <w:sz w:val="19"/>
              </w:rPr>
              <w:t>Local Node.js server; no cloud deployment required for demo. Can be migrated to any Node-compatible cloud.</w:t>
            </w:r>
          </w:p>
        </w:tc>
        <w:tc>
          <w:tcPr>
            <w:tcW w:type="dxa" w:w="4140"/>
          </w:tcPr>
          <w:p>
            <w:pPr>
              <w:spacing w:after="60"/>
            </w:pPr>
            <w:r>
              <w:rPr>
                <w:b w:val="0"/>
                <w:sz w:val="19"/>
              </w:rPr>
              <w:t>Local (Node.js v18+) / Can deploy to Render, Railway, or Heroku</w:t>
            </w:r>
          </w:p>
        </w:tc>
      </w:tr>
    </w:tbl>
    <w:p w:rsidR="00000000" w:rsidDel="00000000" w:rsidP="00000000" w:rsidRDefault="00000000" w:rsidRPr="00000000" w14:paraId="00000050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Table-2: Application Characteristics:</w:t>
      </w:r>
    </w:p>
    <w:tbl>
      <w:tblPr>
        <w:tblStyle w:val="Table3"/>
        <w:tblW w:w="140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26"/>
        <w:gridCol w:w="3969"/>
        <w:gridCol w:w="5170"/>
        <w:gridCol w:w="4097"/>
        <w:tblGridChange w:id="0">
          <w:tblGrid>
            <w:gridCol w:w="826"/>
            <w:gridCol w:w="3969"/>
            <w:gridCol w:w="5170"/>
            <w:gridCol w:w="4097"/>
          </w:tblGrid>
        </w:tblGridChange>
      </w:tblGrid>
      <w:tr>
        <w:trPr>
          <w:cantSplit w:val="0"/>
          <w:trHeight w:val="539" w:hRule="atLeast"/>
          <w:tblHeader w:val="1"/>
        </w:trPr>
        <w:tc>
          <w:tcPr>
            <w:shd w:val="clear" w:color="auto" w:fill="BFBFBF"/>
          </w:tcPr>
          <w:p w:rsidR="00000000" w:rsidDel="00000000" w:rsidP="00000000" w:rsidRDefault="00000000" w:rsidRPr="00000000" w14:paraId="00000052">
            <w:pPr>
              <w:tabs>
                <w:tab w:val="left" w:leader="none" w:pos="2320"/>
              </w:tabs>
              <w:spacing w:after="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rtl w:val="0"/>
              </w:rPr>
              <w:t xml:space="preserve">S.No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53">
            <w:pPr>
              <w:tabs>
                <w:tab w:val="left" w:leader="none" w:pos="2320"/>
              </w:tabs>
              <w:spacing w:after="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rtl w:val="0"/>
              </w:rPr>
              <w:t xml:space="preserve">Characteristics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54">
            <w:pPr>
              <w:tabs>
                <w:tab w:val="left" w:leader="none" w:pos="2320"/>
              </w:tabs>
              <w:spacing w:after="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rtl w:val="0"/>
              </w:rPr>
              <w:t xml:space="preserve">Description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55">
            <w:pPr>
              <w:tabs>
                <w:tab w:val="left" w:leader="none" w:pos="2320"/>
              </w:tabs>
              <w:spacing w:after="60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rtl w:val="0"/>
              </w:rPr>
              <w:t xml:space="preserve">Technology </w:t>
            </w:r>
          </w:p>
        </w:tc>
      </w:tr>
      <w:tr>
        <w:tc>
          <w:tcPr>
            <w:tcW w:type="dxa" w:w="826"/>
          </w:tcPr>
          <w:p>
            <w:pPr>
              <w:spacing w:after="6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3969"/>
          </w:tcPr>
          <w:p>
            <w:pPr>
              <w:spacing w:after="60"/>
            </w:pPr>
            <w:r>
              <w:rPr>
                <w:b w:val="0"/>
                <w:sz w:val="19"/>
              </w:rPr>
              <w:t>Open-Source Frameworks</w:t>
            </w:r>
          </w:p>
        </w:tc>
        <w:tc>
          <w:tcPr>
            <w:tcW w:type="dxa" w:w="5170"/>
          </w:tcPr>
          <w:p>
            <w:pPr>
              <w:spacing w:after="60"/>
            </w:pPr>
            <w:r>
              <w:rPr>
                <w:b w:val="0"/>
                <w:sz w:val="19"/>
              </w:rPr>
              <w:t>React, Express.js, Mongoose, Socket.io, Axios, React Router, bcryptjs, Helmet, Morgan — all MIT/BSD licensed open-source packages</w:t>
            </w:r>
          </w:p>
        </w:tc>
        <w:tc>
          <w:tcPr>
            <w:tcW w:type="dxa" w:w="4097"/>
          </w:tcPr>
          <w:p>
            <w:pPr>
              <w:spacing w:after="60"/>
            </w:pPr>
            <w:r>
              <w:rPr>
                <w:b w:val="0"/>
                <w:sz w:val="19"/>
              </w:rPr>
              <w:t>npm ecosystem</w:t>
            </w:r>
          </w:p>
        </w:tc>
      </w:tr>
      <w:tr>
        <w:tc>
          <w:tcPr>
            <w:tcW w:type="dxa" w:w="826"/>
          </w:tcPr>
          <w:p>
            <w:pPr>
              <w:spacing w:after="6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3969"/>
          </w:tcPr>
          <w:p>
            <w:pPr>
              <w:spacing w:after="60"/>
            </w:pPr>
            <w:r>
              <w:rPr>
                <w:b w:val="0"/>
                <w:sz w:val="19"/>
              </w:rPr>
              <w:t>Security Implementations</w:t>
            </w:r>
          </w:p>
        </w:tc>
        <w:tc>
          <w:tcPr>
            <w:tcW w:type="dxa" w:w="5170"/>
          </w:tcPr>
          <w:p>
            <w:pPr>
              <w:spacing w:after="60"/>
            </w:pPr>
            <w:r>
              <w:rPr>
                <w:b w:val="0"/>
                <w:sz w:val="19"/>
              </w:rPr>
              <w:t>JWT for stateless auth (7-day expiry), bcrypt (10 salt rounds) for password hashing, Helmet for secure HTTP headers, CORS restricted to frontend origin, role-based middleware (403 on unauthorized routes), strong seed credentials</w:t>
            </w:r>
          </w:p>
        </w:tc>
        <w:tc>
          <w:tcPr>
            <w:tcW w:type="dxa" w:w="4097"/>
          </w:tcPr>
          <w:p>
            <w:pPr>
              <w:spacing w:after="60"/>
            </w:pPr>
            <w:r>
              <w:rPr>
                <w:b w:val="0"/>
                <w:sz w:val="19"/>
              </w:rPr>
              <w:t>jsonwebtoken, bcryptjs, Helmet.js, CORS middleware</w:t>
            </w:r>
          </w:p>
        </w:tc>
      </w:tr>
      <w:tr>
        <w:tc>
          <w:tcPr>
            <w:tcW w:type="dxa" w:w="826"/>
          </w:tcPr>
          <w:p>
            <w:pPr>
              <w:spacing w:after="6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3969"/>
          </w:tcPr>
          <w:p>
            <w:pPr>
              <w:spacing w:after="60"/>
            </w:pPr>
            <w:r>
              <w:rPr>
                <w:b w:val="0"/>
                <w:sz w:val="19"/>
              </w:rPr>
              <w:t>Scalable Architecture</w:t>
            </w:r>
          </w:p>
        </w:tc>
        <w:tc>
          <w:tcPr>
            <w:tcW w:type="dxa" w:w="5170"/>
          </w:tcPr>
          <w:p>
            <w:pPr>
              <w:spacing w:after="60"/>
            </w:pPr>
            <w:r>
              <w:rPr>
                <w:b w:val="0"/>
                <w:sz w:val="19"/>
              </w:rPr>
              <w:t>3-tier MVC architecture: React SPA (Presentation) ↔ Express REST + Socket.io (Application/Controller) ↔ MongoDB (Data). Stateless JWT-based API allows horizontal scaling</w:t>
            </w:r>
          </w:p>
        </w:tc>
        <w:tc>
          <w:tcPr>
            <w:tcW w:type="dxa" w:w="4097"/>
          </w:tcPr>
          <w:p>
            <w:pPr>
              <w:spacing w:after="60"/>
            </w:pPr>
            <w:r>
              <w:rPr>
                <w:b w:val="0"/>
                <w:sz w:val="19"/>
              </w:rPr>
              <w:t>MVC + Stateless REST + MongoDB</w:t>
            </w:r>
          </w:p>
        </w:tc>
      </w:tr>
      <w:tr>
        <w:tc>
          <w:tcPr>
            <w:tcW w:type="dxa" w:w="826"/>
          </w:tcPr>
          <w:p>
            <w:pPr>
              <w:spacing w:after="6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3969"/>
          </w:tcPr>
          <w:p>
            <w:pPr>
              <w:spacing w:after="60"/>
            </w:pPr>
            <w:r>
              <w:rPr>
                <w:b w:val="0"/>
                <w:sz w:val="19"/>
              </w:rPr>
              <w:t>Availability</w:t>
            </w:r>
          </w:p>
        </w:tc>
        <w:tc>
          <w:tcPr>
            <w:tcW w:type="dxa" w:w="5170"/>
          </w:tcPr>
          <w:p>
            <w:pPr>
              <w:spacing w:after="60"/>
            </w:pPr>
            <w:r>
              <w:rPr>
                <w:b w:val="0"/>
                <w:sz w:val="19"/>
              </w:rPr>
              <w:t>Local MongoDB runs as a background service ensuring uptime during demos. All config externalized in .env, enabling seamless migration to MongoDB Atlas for cloud HA</w:t>
            </w:r>
          </w:p>
        </w:tc>
        <w:tc>
          <w:tcPr>
            <w:tcW w:type="dxa" w:w="4097"/>
          </w:tcPr>
          <w:p>
            <w:pPr>
              <w:spacing w:after="60"/>
            </w:pPr>
            <w:r>
              <w:rPr>
                <w:b w:val="0"/>
                <w:sz w:val="19"/>
              </w:rPr>
              <w:t>Local MongoDB / MongoDB Atlas (cloud-ready)</w:t>
            </w:r>
          </w:p>
        </w:tc>
      </w:tr>
      <w:tr>
        <w:tc>
          <w:tcPr>
            <w:tcW w:type="dxa" w:w="826"/>
          </w:tcPr>
          <w:p>
            <w:pPr>
              <w:spacing w:after="6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3969"/>
          </w:tcPr>
          <w:p>
            <w:pPr>
              <w:spacing w:after="60"/>
            </w:pPr>
            <w:r>
              <w:rPr>
                <w:b w:val="0"/>
                <w:sz w:val="19"/>
              </w:rPr>
              <w:t>Performance</w:t>
            </w:r>
          </w:p>
        </w:tc>
        <w:tc>
          <w:tcPr>
            <w:tcW w:type="dxa" w:w="5170"/>
          </w:tcPr>
          <w:p>
            <w:pPr>
              <w:spacing w:after="60"/>
            </w:pPr>
            <w:r>
              <w:rPr>
                <w:b w:val="0"/>
                <w:sz w:val="19"/>
              </w:rPr>
              <w:t>MongoDB indexes on status and email fields reduce query time; Vite tree-shaking minimizes JS bundle; Socket.io rooms scope messages to relevant participants only</w:t>
            </w:r>
          </w:p>
        </w:tc>
        <w:tc>
          <w:tcPr>
            <w:tcW w:type="dxa" w:w="4097"/>
          </w:tcPr>
          <w:p>
            <w:pPr>
              <w:spacing w:after="60"/>
            </w:pPr>
            <w:r>
              <w:rPr>
                <w:b w:val="0"/>
                <w:sz w:val="19"/>
              </w:rPr>
              <w:t>MongoDB indexing, Vite build optimization, Socket.io rooms</w:t>
            </w:r>
          </w:p>
        </w:tc>
      </w:tr>
    </w:tbl>
    <w:p w:rsidR="00000000" w:rsidDel="00000000" w:rsidP="00000000" w:rsidRDefault="00000000" w:rsidRPr="00000000" w14:paraId="0000006A">
      <w:pPr>
        <w:tabs>
          <w:tab w:val="left" w:leader="none" w:pos="2320"/>
        </w:tabs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References:</w:t>
      </w:r>
    </w:p>
    <w:p w:rsidR="00000000" w:rsidDel="00000000" w:rsidP="00000000" w:rsidRDefault="00000000" w:rsidRPr="00000000" w14:paraId="0000006D">
      <w:pPr>
        <w:rPr>
          <w:rFonts w:ascii="Arial" w:cs="Arial" w:eastAsia="Arial" w:hAnsi="Arial"/>
          <w:b w:val="1"/>
          <w:bCs w:val="1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https://c4model.com/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Arial" w:cs="Arial" w:eastAsia="Arial" w:hAnsi="Arial"/>
          <w:b w:val="1"/>
          <w:bCs w:val="1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https://developer.ibm.com/patterns/online-order-processing-system-during-pandemic/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Arial" w:cs="Arial" w:eastAsia="Arial" w:hAnsi="Arial"/>
          <w:b w:val="1"/>
          <w:bCs w:val="1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https://www.ibm.com/cloud/architecture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Arial" w:cs="Arial" w:eastAsia="Arial" w:hAnsi="Arial"/>
          <w:b w:val="1"/>
          <w:bCs w:val="1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https://aws.amazon.com/architecture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Arial" w:cs="Arial" w:eastAsia="Arial" w:hAnsi="Arial"/>
          <w:b w:val="1"/>
          <w:bCs w:val="1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color w:val="0563c1"/>
            <w:u w:val="single"/>
            <w:rtl w:val="0"/>
          </w:rPr>
          <w:t xml:space="preserve">https://medium.com/the-internal-startup/how-to-draw-useful-technical-architecture-diagrams-2d20c9fda90d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1134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644" w:hanging="359.9999999999998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developer.ibm.com/patterns/online-order-processing-system-during-pandemic/" TargetMode="External"/><Relationship Id="rId10" Type="http://schemas.openxmlformats.org/officeDocument/2006/relationships/hyperlink" Target="https://c4model.com/" TargetMode="External"/><Relationship Id="rId13" Type="http://schemas.openxmlformats.org/officeDocument/2006/relationships/hyperlink" Target="https://aws.amazon.com/architecture" TargetMode="External"/><Relationship Id="rId12" Type="http://schemas.openxmlformats.org/officeDocument/2006/relationships/hyperlink" Target="https://www.ibm.com/cloud/architecture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hyperlink" Target="https://medium.com/the-internal-startup/how-to-draw-useful-technical-architecture-diagrams-2d20c9fda90d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developer.ibm.com/patterns/ai-powered-backend-system-for-order-processing-during-pandemics/" TargetMode="External"/><Relationship Id="rId8" Type="http://schemas.openxmlformats.org/officeDocument/2006/relationships/image" Target="media/image2.png"/><Relationship Id="rId15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k1dWbWL23mNE6+9DnEE64mlYW/w==">CgMxLjA4AHIhMTA5SWIycTZYMnM4a193YjlBZGM5STFrZ2w4cVVDRGtD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