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62B" w:rsidRDefault="006147E4">
      <w:pPr>
        <w:pStyle w:val="Title"/>
      </w:pPr>
      <w:r>
        <w:t>Tex2Rmd: A package to covert Latex document to R markdown and in turn to html and Microsoft word format</w:t>
      </w:r>
    </w:p>
    <w:p w:rsidR="001B262B" w:rsidRDefault="006147E4">
      <w:pPr>
        <w:pStyle w:val="Author"/>
      </w:pPr>
      <w:r>
        <w:t>Lakshmi K. Raut</w:t>
      </w:r>
      <w:r>
        <w:rPr>
          <w:rStyle w:val="FootnoteReference"/>
        </w:rPr>
        <w:footnoteReference w:id="1"/>
      </w:r>
    </w:p>
    <w:p w:rsidR="001B262B" w:rsidRDefault="006147E4">
      <w:pPr>
        <w:pStyle w:val="Date"/>
      </w:pPr>
      <w:r>
        <w:t>2020-12-05</w:t>
      </w:r>
    </w:p>
    <w:sdt>
      <w:sdtPr>
        <w:rPr>
          <w:rFonts w:ascii="Times New Roman" w:eastAsiaTheme="minorHAnsi" w:hAnsi="Times New Roman" w:cstheme="minorBidi"/>
          <w:color w:val="auto"/>
          <w:sz w:val="24"/>
          <w:szCs w:val="24"/>
        </w:rPr>
        <w:id w:val="-43608273"/>
        <w:docPartObj>
          <w:docPartGallery w:val="Table of Contents"/>
          <w:docPartUnique/>
        </w:docPartObj>
      </w:sdtPr>
      <w:sdtEndPr/>
      <w:sdtContent>
        <w:p w:rsidR="001B262B" w:rsidRDefault="006147E4">
          <w:pPr>
            <w:pStyle w:val="TOCHeading"/>
          </w:pPr>
          <w:r>
            <w:t>Table of Contents</w:t>
          </w:r>
        </w:p>
        <w:p w:rsidR="00C33290" w:rsidRDefault="006147E4">
          <w:pPr>
            <w:pStyle w:val="TOC1"/>
            <w:tabs>
              <w:tab w:val="left" w:pos="440"/>
              <w:tab w:val="right" w:leader="dot" w:pos="9350"/>
            </w:tabs>
            <w:rPr>
              <w:noProof/>
            </w:rPr>
          </w:pPr>
          <w:r>
            <w:fldChar w:fldCharType="begin"/>
          </w:r>
          <w:r>
            <w:instrText>TOC \o "1-2" \h \z \u</w:instrText>
          </w:r>
          <w:r w:rsidR="00C33290">
            <w:fldChar w:fldCharType="separate"/>
          </w:r>
          <w:hyperlink w:anchor="_Toc58078982" w:history="1">
            <w:r w:rsidR="00C33290" w:rsidRPr="00E36CA8">
              <w:rPr>
                <w:rStyle w:val="Hyperlink"/>
                <w:noProof/>
              </w:rPr>
              <w:t>1</w:t>
            </w:r>
            <w:r w:rsidR="00C33290">
              <w:rPr>
                <w:noProof/>
              </w:rPr>
              <w:tab/>
            </w:r>
            <w:r w:rsidR="00C33290" w:rsidRPr="00E36CA8">
              <w:rPr>
                <w:rStyle w:val="Hyperlink"/>
                <w:noProof/>
              </w:rPr>
              <w:t>Introduction</w:t>
            </w:r>
            <w:r w:rsidR="00C33290">
              <w:rPr>
                <w:noProof/>
                <w:webHidden/>
              </w:rPr>
              <w:tab/>
            </w:r>
            <w:r w:rsidR="00C33290">
              <w:rPr>
                <w:noProof/>
                <w:webHidden/>
              </w:rPr>
              <w:fldChar w:fldCharType="begin"/>
            </w:r>
            <w:r w:rsidR="00C33290">
              <w:rPr>
                <w:noProof/>
                <w:webHidden/>
              </w:rPr>
              <w:instrText xml:space="preserve"> PAGEREF _Toc58078982 \h </w:instrText>
            </w:r>
            <w:r w:rsidR="00C33290">
              <w:rPr>
                <w:noProof/>
                <w:webHidden/>
              </w:rPr>
            </w:r>
            <w:r w:rsidR="00C33290">
              <w:rPr>
                <w:noProof/>
                <w:webHidden/>
              </w:rPr>
              <w:fldChar w:fldCharType="separate"/>
            </w:r>
            <w:r w:rsidR="00C33290">
              <w:rPr>
                <w:noProof/>
                <w:webHidden/>
              </w:rPr>
              <w:t>1</w:t>
            </w:r>
            <w:r w:rsidR="00C33290">
              <w:rPr>
                <w:noProof/>
                <w:webHidden/>
              </w:rPr>
              <w:fldChar w:fldCharType="end"/>
            </w:r>
          </w:hyperlink>
        </w:p>
        <w:p w:rsidR="00C33290" w:rsidRDefault="00C33290">
          <w:pPr>
            <w:pStyle w:val="TOC1"/>
            <w:tabs>
              <w:tab w:val="left" w:pos="440"/>
              <w:tab w:val="right" w:leader="dot" w:pos="9350"/>
            </w:tabs>
            <w:rPr>
              <w:noProof/>
            </w:rPr>
          </w:pPr>
          <w:hyperlink w:anchor="_Toc58078983" w:history="1">
            <w:r w:rsidRPr="00E36CA8">
              <w:rPr>
                <w:rStyle w:val="Hyperlink"/>
                <w:noProof/>
              </w:rPr>
              <w:t>2</w:t>
            </w:r>
            <w:r>
              <w:rPr>
                <w:noProof/>
              </w:rPr>
              <w:tab/>
            </w:r>
            <w:r w:rsidRPr="00E36CA8">
              <w:rPr>
                <w:rStyle w:val="Hyperlink"/>
                <w:noProof/>
              </w:rPr>
              <w:t>Installation and Running</w:t>
            </w:r>
            <w:r>
              <w:rPr>
                <w:noProof/>
                <w:webHidden/>
              </w:rPr>
              <w:tab/>
            </w:r>
            <w:r>
              <w:rPr>
                <w:noProof/>
                <w:webHidden/>
              </w:rPr>
              <w:fldChar w:fldCharType="begin"/>
            </w:r>
            <w:r>
              <w:rPr>
                <w:noProof/>
                <w:webHidden/>
              </w:rPr>
              <w:instrText xml:space="preserve"> PAGEREF _Toc58078983 \h </w:instrText>
            </w:r>
            <w:r>
              <w:rPr>
                <w:noProof/>
                <w:webHidden/>
              </w:rPr>
            </w:r>
            <w:r>
              <w:rPr>
                <w:noProof/>
                <w:webHidden/>
              </w:rPr>
              <w:fldChar w:fldCharType="separate"/>
            </w:r>
            <w:r>
              <w:rPr>
                <w:noProof/>
                <w:webHidden/>
              </w:rPr>
              <w:t>2</w:t>
            </w:r>
            <w:r>
              <w:rPr>
                <w:noProof/>
                <w:webHidden/>
              </w:rPr>
              <w:fldChar w:fldCharType="end"/>
            </w:r>
          </w:hyperlink>
        </w:p>
        <w:p w:rsidR="00C33290" w:rsidRDefault="00C33290">
          <w:pPr>
            <w:pStyle w:val="TOC1"/>
            <w:tabs>
              <w:tab w:val="left" w:pos="440"/>
              <w:tab w:val="right" w:leader="dot" w:pos="9350"/>
            </w:tabs>
            <w:rPr>
              <w:noProof/>
            </w:rPr>
          </w:pPr>
          <w:hyperlink w:anchor="_Toc58078984" w:history="1">
            <w:r w:rsidRPr="00E36CA8">
              <w:rPr>
                <w:rStyle w:val="Hyperlink"/>
                <w:noProof/>
              </w:rPr>
              <w:t>3</w:t>
            </w:r>
            <w:r>
              <w:rPr>
                <w:noProof/>
              </w:rPr>
              <w:tab/>
            </w:r>
            <w:r w:rsidRPr="00E36CA8">
              <w:rPr>
                <w:rStyle w:val="Hyperlink"/>
                <w:noProof/>
              </w:rPr>
              <w:t>Referencing</w:t>
            </w:r>
            <w:r>
              <w:rPr>
                <w:noProof/>
                <w:webHidden/>
              </w:rPr>
              <w:tab/>
            </w:r>
            <w:r>
              <w:rPr>
                <w:noProof/>
                <w:webHidden/>
              </w:rPr>
              <w:fldChar w:fldCharType="begin"/>
            </w:r>
            <w:r>
              <w:rPr>
                <w:noProof/>
                <w:webHidden/>
              </w:rPr>
              <w:instrText xml:space="preserve"> PAGEREF _Toc58078984 \h </w:instrText>
            </w:r>
            <w:r>
              <w:rPr>
                <w:noProof/>
                <w:webHidden/>
              </w:rPr>
            </w:r>
            <w:r>
              <w:rPr>
                <w:noProof/>
                <w:webHidden/>
              </w:rPr>
              <w:fldChar w:fldCharType="separate"/>
            </w:r>
            <w:r>
              <w:rPr>
                <w:noProof/>
                <w:webHidden/>
              </w:rPr>
              <w:t>3</w:t>
            </w:r>
            <w:r>
              <w:rPr>
                <w:noProof/>
                <w:webHidden/>
              </w:rPr>
              <w:fldChar w:fldCharType="end"/>
            </w:r>
          </w:hyperlink>
        </w:p>
        <w:p w:rsidR="00C33290" w:rsidRDefault="00C33290">
          <w:pPr>
            <w:pStyle w:val="TOC1"/>
            <w:tabs>
              <w:tab w:val="left" w:pos="440"/>
              <w:tab w:val="right" w:leader="dot" w:pos="9350"/>
            </w:tabs>
            <w:rPr>
              <w:noProof/>
            </w:rPr>
          </w:pPr>
          <w:hyperlink w:anchor="_Toc58078985" w:history="1">
            <w:r w:rsidRPr="00E36CA8">
              <w:rPr>
                <w:rStyle w:val="Hyperlink"/>
                <w:noProof/>
              </w:rPr>
              <w:t>4</w:t>
            </w:r>
            <w:r>
              <w:rPr>
                <w:noProof/>
              </w:rPr>
              <w:tab/>
            </w:r>
            <w:r w:rsidRPr="00E36CA8">
              <w:rPr>
                <w:rStyle w:val="Hyperlink"/>
                <w:noProof/>
              </w:rPr>
              <w:t>Equations</w:t>
            </w:r>
            <w:r>
              <w:rPr>
                <w:noProof/>
                <w:webHidden/>
              </w:rPr>
              <w:tab/>
            </w:r>
            <w:r>
              <w:rPr>
                <w:noProof/>
                <w:webHidden/>
              </w:rPr>
              <w:fldChar w:fldCharType="begin"/>
            </w:r>
            <w:r>
              <w:rPr>
                <w:noProof/>
                <w:webHidden/>
              </w:rPr>
              <w:instrText xml:space="preserve"> PAGEREF _Toc58078985 \h </w:instrText>
            </w:r>
            <w:r>
              <w:rPr>
                <w:noProof/>
                <w:webHidden/>
              </w:rPr>
            </w:r>
            <w:r>
              <w:rPr>
                <w:noProof/>
                <w:webHidden/>
              </w:rPr>
              <w:fldChar w:fldCharType="separate"/>
            </w:r>
            <w:r>
              <w:rPr>
                <w:noProof/>
                <w:webHidden/>
              </w:rPr>
              <w:t>3</w:t>
            </w:r>
            <w:r>
              <w:rPr>
                <w:noProof/>
                <w:webHidden/>
              </w:rPr>
              <w:fldChar w:fldCharType="end"/>
            </w:r>
          </w:hyperlink>
        </w:p>
        <w:p w:rsidR="00C33290" w:rsidRDefault="00C33290">
          <w:pPr>
            <w:pStyle w:val="TOC1"/>
            <w:tabs>
              <w:tab w:val="left" w:pos="440"/>
              <w:tab w:val="right" w:leader="dot" w:pos="9350"/>
            </w:tabs>
            <w:rPr>
              <w:noProof/>
            </w:rPr>
          </w:pPr>
          <w:hyperlink w:anchor="_Toc58078986" w:history="1">
            <w:r w:rsidRPr="00E36CA8">
              <w:rPr>
                <w:rStyle w:val="Hyperlink"/>
                <w:noProof/>
              </w:rPr>
              <w:t>5</w:t>
            </w:r>
            <w:r>
              <w:rPr>
                <w:noProof/>
              </w:rPr>
              <w:tab/>
            </w:r>
            <w:r w:rsidRPr="00E36CA8">
              <w:rPr>
                <w:rStyle w:val="Hyperlink"/>
                <w:noProof/>
              </w:rPr>
              <w:t>Figures and Tables</w:t>
            </w:r>
            <w:r>
              <w:rPr>
                <w:noProof/>
                <w:webHidden/>
              </w:rPr>
              <w:tab/>
            </w:r>
            <w:r>
              <w:rPr>
                <w:noProof/>
                <w:webHidden/>
              </w:rPr>
              <w:fldChar w:fldCharType="begin"/>
            </w:r>
            <w:r>
              <w:rPr>
                <w:noProof/>
                <w:webHidden/>
              </w:rPr>
              <w:instrText xml:space="preserve"> PAGEREF _Toc58078986 \h </w:instrText>
            </w:r>
            <w:r>
              <w:rPr>
                <w:noProof/>
                <w:webHidden/>
              </w:rPr>
            </w:r>
            <w:r>
              <w:rPr>
                <w:noProof/>
                <w:webHidden/>
              </w:rPr>
              <w:fldChar w:fldCharType="separate"/>
            </w:r>
            <w:r>
              <w:rPr>
                <w:noProof/>
                <w:webHidden/>
              </w:rPr>
              <w:t>4</w:t>
            </w:r>
            <w:r>
              <w:rPr>
                <w:noProof/>
                <w:webHidden/>
              </w:rPr>
              <w:fldChar w:fldCharType="end"/>
            </w:r>
          </w:hyperlink>
        </w:p>
        <w:p w:rsidR="00C33290" w:rsidRDefault="00C33290">
          <w:pPr>
            <w:pStyle w:val="TOC1"/>
            <w:tabs>
              <w:tab w:val="left" w:pos="440"/>
              <w:tab w:val="right" w:leader="dot" w:pos="9350"/>
            </w:tabs>
            <w:rPr>
              <w:noProof/>
            </w:rPr>
          </w:pPr>
          <w:hyperlink w:anchor="_Toc58078987" w:history="1">
            <w:r w:rsidRPr="00E36CA8">
              <w:rPr>
                <w:rStyle w:val="Hyperlink"/>
                <w:noProof/>
              </w:rPr>
              <w:t>6</w:t>
            </w:r>
            <w:r>
              <w:rPr>
                <w:noProof/>
              </w:rPr>
              <w:tab/>
            </w:r>
            <w:r w:rsidRPr="00E36CA8">
              <w:rPr>
                <w:rStyle w:val="Hyperlink"/>
                <w:noProof/>
              </w:rPr>
              <w:t>List like environments: itemize, enumerate, description</w:t>
            </w:r>
            <w:r>
              <w:rPr>
                <w:noProof/>
                <w:webHidden/>
              </w:rPr>
              <w:tab/>
            </w:r>
            <w:r>
              <w:rPr>
                <w:noProof/>
                <w:webHidden/>
              </w:rPr>
              <w:fldChar w:fldCharType="begin"/>
            </w:r>
            <w:r>
              <w:rPr>
                <w:noProof/>
                <w:webHidden/>
              </w:rPr>
              <w:instrText xml:space="preserve"> PAGEREF _Toc58078987 \h </w:instrText>
            </w:r>
            <w:r>
              <w:rPr>
                <w:noProof/>
                <w:webHidden/>
              </w:rPr>
            </w:r>
            <w:r>
              <w:rPr>
                <w:noProof/>
                <w:webHidden/>
              </w:rPr>
              <w:fldChar w:fldCharType="separate"/>
            </w:r>
            <w:r>
              <w:rPr>
                <w:noProof/>
                <w:webHidden/>
              </w:rPr>
              <w:t>6</w:t>
            </w:r>
            <w:r>
              <w:rPr>
                <w:noProof/>
                <w:webHidden/>
              </w:rPr>
              <w:fldChar w:fldCharType="end"/>
            </w:r>
          </w:hyperlink>
        </w:p>
        <w:p w:rsidR="00C33290" w:rsidRDefault="00C33290">
          <w:pPr>
            <w:pStyle w:val="TOC1"/>
            <w:tabs>
              <w:tab w:val="left" w:pos="440"/>
              <w:tab w:val="right" w:leader="dot" w:pos="9350"/>
            </w:tabs>
            <w:rPr>
              <w:noProof/>
            </w:rPr>
          </w:pPr>
          <w:hyperlink w:anchor="_Toc58078988" w:history="1">
            <w:r w:rsidRPr="00E36CA8">
              <w:rPr>
                <w:rStyle w:val="Hyperlink"/>
                <w:noProof/>
              </w:rPr>
              <w:t>7</w:t>
            </w:r>
            <w:r>
              <w:rPr>
                <w:noProof/>
              </w:rPr>
              <w:tab/>
            </w:r>
            <w:r w:rsidRPr="00E36CA8">
              <w:rPr>
                <w:rStyle w:val="Hyperlink"/>
                <w:noProof/>
              </w:rPr>
              <w:t>Theorem like environments</w:t>
            </w:r>
            <w:r>
              <w:rPr>
                <w:noProof/>
                <w:webHidden/>
              </w:rPr>
              <w:tab/>
            </w:r>
            <w:r>
              <w:rPr>
                <w:noProof/>
                <w:webHidden/>
              </w:rPr>
              <w:fldChar w:fldCharType="begin"/>
            </w:r>
            <w:r>
              <w:rPr>
                <w:noProof/>
                <w:webHidden/>
              </w:rPr>
              <w:instrText xml:space="preserve"> PAGEREF _Toc58078988 \h </w:instrText>
            </w:r>
            <w:r>
              <w:rPr>
                <w:noProof/>
                <w:webHidden/>
              </w:rPr>
            </w:r>
            <w:r>
              <w:rPr>
                <w:noProof/>
                <w:webHidden/>
              </w:rPr>
              <w:fldChar w:fldCharType="separate"/>
            </w:r>
            <w:r>
              <w:rPr>
                <w:noProof/>
                <w:webHidden/>
              </w:rPr>
              <w:t>7</w:t>
            </w:r>
            <w:r>
              <w:rPr>
                <w:noProof/>
                <w:webHidden/>
              </w:rPr>
              <w:fldChar w:fldCharType="end"/>
            </w:r>
          </w:hyperlink>
        </w:p>
        <w:p w:rsidR="00C33290" w:rsidRDefault="00C33290">
          <w:pPr>
            <w:pStyle w:val="TOC1"/>
            <w:tabs>
              <w:tab w:val="left" w:pos="440"/>
              <w:tab w:val="right" w:leader="dot" w:pos="9350"/>
            </w:tabs>
            <w:rPr>
              <w:noProof/>
            </w:rPr>
          </w:pPr>
          <w:hyperlink w:anchor="_Toc58078989" w:history="1">
            <w:r w:rsidRPr="00E36CA8">
              <w:rPr>
                <w:rStyle w:val="Hyperlink"/>
                <w:noProof/>
              </w:rPr>
              <w:t>8</w:t>
            </w:r>
            <w:r>
              <w:rPr>
                <w:noProof/>
              </w:rPr>
              <w:tab/>
            </w:r>
            <w:r w:rsidRPr="00E36CA8">
              <w:rPr>
                <w:rStyle w:val="Hyperlink"/>
                <w:noProof/>
              </w:rPr>
              <w:t>Remarks</w:t>
            </w:r>
            <w:r>
              <w:rPr>
                <w:noProof/>
                <w:webHidden/>
              </w:rPr>
              <w:tab/>
            </w:r>
            <w:r>
              <w:rPr>
                <w:noProof/>
                <w:webHidden/>
              </w:rPr>
              <w:fldChar w:fldCharType="begin"/>
            </w:r>
            <w:r>
              <w:rPr>
                <w:noProof/>
                <w:webHidden/>
              </w:rPr>
              <w:instrText xml:space="preserve"> PAGEREF _Toc58078989 \h </w:instrText>
            </w:r>
            <w:r>
              <w:rPr>
                <w:noProof/>
                <w:webHidden/>
              </w:rPr>
            </w:r>
            <w:r>
              <w:rPr>
                <w:noProof/>
                <w:webHidden/>
              </w:rPr>
              <w:fldChar w:fldCharType="separate"/>
            </w:r>
            <w:r>
              <w:rPr>
                <w:noProof/>
                <w:webHidden/>
              </w:rPr>
              <w:t>8</w:t>
            </w:r>
            <w:r>
              <w:rPr>
                <w:noProof/>
                <w:webHidden/>
              </w:rPr>
              <w:fldChar w:fldCharType="end"/>
            </w:r>
          </w:hyperlink>
        </w:p>
        <w:p w:rsidR="00C33290" w:rsidRDefault="00C33290">
          <w:pPr>
            <w:pStyle w:val="TOC1"/>
            <w:tabs>
              <w:tab w:val="right" w:leader="dot" w:pos="9350"/>
            </w:tabs>
            <w:rPr>
              <w:noProof/>
            </w:rPr>
          </w:pPr>
          <w:hyperlink w:anchor="_Toc58078990" w:history="1">
            <w:r w:rsidRPr="00E36CA8">
              <w:rPr>
                <w:rStyle w:val="Hyperlink"/>
                <w:noProof/>
              </w:rPr>
              <w:t>References</w:t>
            </w:r>
            <w:r>
              <w:rPr>
                <w:noProof/>
                <w:webHidden/>
              </w:rPr>
              <w:tab/>
            </w:r>
            <w:r>
              <w:rPr>
                <w:noProof/>
                <w:webHidden/>
              </w:rPr>
              <w:fldChar w:fldCharType="begin"/>
            </w:r>
            <w:r>
              <w:rPr>
                <w:noProof/>
                <w:webHidden/>
              </w:rPr>
              <w:instrText xml:space="preserve"> PAGEREF _Toc58078990 \h </w:instrText>
            </w:r>
            <w:r>
              <w:rPr>
                <w:noProof/>
                <w:webHidden/>
              </w:rPr>
            </w:r>
            <w:r>
              <w:rPr>
                <w:noProof/>
                <w:webHidden/>
              </w:rPr>
              <w:fldChar w:fldCharType="separate"/>
            </w:r>
            <w:r>
              <w:rPr>
                <w:noProof/>
                <w:webHidden/>
              </w:rPr>
              <w:t>8</w:t>
            </w:r>
            <w:r>
              <w:rPr>
                <w:noProof/>
                <w:webHidden/>
              </w:rPr>
              <w:fldChar w:fldCharType="end"/>
            </w:r>
          </w:hyperlink>
        </w:p>
        <w:p w:rsidR="001B262B" w:rsidRDefault="006147E4">
          <w:r>
            <w:fldChar w:fldCharType="end"/>
          </w:r>
        </w:p>
      </w:sdtContent>
    </w:sdt>
    <w:p w:rsidR="001B262B" w:rsidRDefault="006147E4">
      <w:pPr>
        <w:pStyle w:val="Heading4"/>
      </w:pPr>
      <w:bookmarkStart w:id="0" w:name="abstract"/>
      <w:r>
        <w:t>Abstract</w:t>
      </w:r>
      <w:bookmarkEnd w:id="0"/>
    </w:p>
    <w:p w:rsidR="001B262B" w:rsidRDefault="006147E4">
      <w:pPr>
        <w:pStyle w:val="FirstParagraph"/>
      </w:pPr>
      <w:r>
        <w:t xml:space="preserve">The article describes the typical features of a Latex document that this package can convert to the Rmarkdown format. The converted markdown document, possibly after further addition of other R chunks and edits, can be converted to html and word documents </w:t>
      </w:r>
      <w:r>
        <w:t>using R package knitr. It is also possible to convert it back to Latex, but you may have to tweak it a little to make the latex output look nice.</w:t>
      </w:r>
    </w:p>
    <w:p w:rsidR="001B262B" w:rsidRDefault="006147E4">
      <w:pPr>
        <w:pStyle w:val="BodyText"/>
      </w:pPr>
      <w:r>
        <w:rPr>
          <w:b/>
        </w:rPr>
        <w:t>Keywords:</w:t>
      </w:r>
      <w:r>
        <w:t xml:space="preserve"> Latex, html, Rmarkdown, Microsoft word.</w:t>
      </w:r>
    </w:p>
    <w:p w:rsidR="001B262B" w:rsidRDefault="006147E4">
      <w:pPr>
        <w:pStyle w:val="BodyText"/>
      </w:pPr>
      <w:r>
        <w:rPr>
          <w:b/>
        </w:rPr>
        <w:t>Acknowledgement and disclaimer</w:t>
      </w:r>
      <w:r>
        <w:rPr>
          <w:rStyle w:val="FootnoteReference"/>
        </w:rPr>
        <w:footnoteReference w:id="2"/>
      </w:r>
    </w:p>
    <w:p w:rsidR="001B262B" w:rsidRDefault="006147E4">
      <w:pPr>
        <w:pStyle w:val="Heading1"/>
      </w:pPr>
      <w:bookmarkStart w:id="1" w:name="sec1"/>
      <w:bookmarkStart w:id="2" w:name="_Toc58078982"/>
      <w:r>
        <w:t>1</w:t>
      </w:r>
      <w:r>
        <w:tab/>
        <w:t>Introduction</w:t>
      </w:r>
      <w:bookmarkEnd w:id="1"/>
      <w:bookmarkEnd w:id="2"/>
    </w:p>
    <w:p w:rsidR="001B262B" w:rsidRDefault="006147E4">
      <w:pPr>
        <w:pStyle w:val="FirstParagraph"/>
      </w:pPr>
      <w:r>
        <w:t xml:space="preserve">This article </w:t>
      </w:r>
      <w:r>
        <w:t xml:space="preserve">uses bits and pieces of Latex contents from my own papers to illustrate features of this package. It is important to </w:t>
      </w:r>
      <w:r>
        <w:rPr>
          <w:i/>
        </w:rPr>
        <w:t>emphasize</w:t>
      </w:r>
      <w:r>
        <w:t xml:space="preserve"> in </w:t>
      </w:r>
      <w:r>
        <w:rPr>
          <w:b/>
        </w:rPr>
        <w:t>bold text that NOT ALL</w:t>
      </w:r>
      <w:r>
        <w:t xml:space="preserve"> features involving </w:t>
      </w:r>
      <w:r>
        <w:lastRenderedPageBreak/>
        <w:t>complex formatting codes in the Latex can be converted. It will convert only those t</w:t>
      </w:r>
      <w:r>
        <w:t>hat it is able to convert and the rest will be left alone. It incorporates basic minimum features generally used in a Ph.D. thesis, scientific article or a book. See this footnote</w:t>
      </w:r>
      <w:r>
        <w:rPr>
          <w:rStyle w:val="FootnoteReference"/>
        </w:rPr>
        <w:footnoteReference w:id="3"/>
      </w:r>
      <w:r>
        <w:t xml:space="preserve"> for limitations on converting Latex table environment.</w:t>
      </w:r>
    </w:p>
    <w:p w:rsidR="001B262B" w:rsidRDefault="006147E4">
      <w:pPr>
        <w:pStyle w:val="BodyText"/>
      </w:pPr>
      <w:r>
        <w:t xml:space="preserve">Section 2 describes </w:t>
      </w:r>
      <w:r>
        <w:t>how to get the software and use it. It runs under 32bit or 64bit windows 7, 8, 10 and 64bit Linux operating system. I programmed it in C++ and Java. In future, I will develop an R package that can combine knitr step to produce directly html file. The steps</w:t>
      </w:r>
      <w:r>
        <w:t xml:space="preserve"> are simplified to minimum of just downloading an exec file meant for your operating system and running it on your Latex file. The rest of the article describes various features of Latex document, it can convert.</w:t>
      </w:r>
    </w:p>
    <w:p w:rsidR="001B262B" w:rsidRDefault="006147E4">
      <w:pPr>
        <w:pStyle w:val="BodyText"/>
      </w:pPr>
      <w:r>
        <w:t>Section 3 discusses how it converts referen</w:t>
      </w:r>
      <w:r>
        <w:t xml:space="preserve">ces. Section 4 shows what kind of equations both displayed and inline are converted. Pretty much it converts all math formats. Section 5 shows conversions of figures and tables. Section 6 describes the list like environments such as itemize, enumerate and </w:t>
      </w:r>
      <w:r>
        <w:t>description. These environments may be present inside other environments such as in propositions, theorems, lemmas, conjectures, proofs, remarks etc, as shown in Section 7. Conversions of list environments are not perfect, you may need some tweaking in the</w:t>
      </w:r>
      <w:r>
        <w:t xml:space="preserve"> converted Rmarkdown document. Section 7 shows theorem like Latex environments such as Theorem, Lemma, Proposition each with its own auto numbering, and proof like environments without numbering. Section 8 discusses a few important facts and how to remark.</w:t>
      </w:r>
    </w:p>
    <w:p w:rsidR="001B262B" w:rsidRDefault="006147E4">
      <w:pPr>
        <w:pStyle w:val="Heading1"/>
      </w:pPr>
      <w:bookmarkStart w:id="3" w:name="sec2"/>
      <w:bookmarkStart w:id="4" w:name="_Toc58078983"/>
      <w:r>
        <w:t>2</w:t>
      </w:r>
      <w:r>
        <w:tab/>
        <w:t>Installation and Running</w:t>
      </w:r>
      <w:bookmarkEnd w:id="3"/>
      <w:bookmarkEnd w:id="4"/>
    </w:p>
    <w:p w:rsidR="001B262B" w:rsidRDefault="006147E4">
      <w:pPr>
        <w:pStyle w:val="FirstParagraph"/>
      </w:pPr>
      <w:r>
        <w:t xml:space="preserve">The software runs on 32bit and 64bit windows and 64bit Linux operating systems. Just download the exec file for your operating system and run it. You can find the exec files here </w:t>
      </w:r>
      <w:hyperlink r:id="rId7">
        <w:r>
          <w:rPr>
            <w:rStyle w:val="Hyperlink"/>
          </w:rPr>
          <w:t>https://github.com/lakshmiraut/Tex2Rmd/releases/tag/V0.1</w:t>
        </w:r>
      </w:hyperlink>
      <w:r>
        <w:t xml:space="preserve">. In this directory, you can also find a pdf file Temp1.pdf created using xelatex on the source file Temp1.tex, and also the R markdown, html and word files created by this </w:t>
      </w:r>
      <w:r>
        <w:t>program (creating Rmd file) and knitr in R or Rstudio (creating html and docx files).</w:t>
      </w:r>
    </w:p>
    <w:p w:rsidR="001B262B" w:rsidRDefault="006147E4">
      <w:pPr>
        <w:pStyle w:val="BodyText"/>
      </w:pPr>
      <w:r>
        <w:t>Easiest way to start is to run the exec file by typing tex2rmd. It will show it’s usage as below:</w:t>
      </w:r>
    </w:p>
    <w:p w:rsidR="001B262B" w:rsidRDefault="006147E4">
      <w:pPr>
        <w:pStyle w:val="BodyText"/>
      </w:pPr>
      <w:r>
        <w:t>usage: tex2rmd inputTexFileName.tex -b bibFile.bib -o outputRmdFileName.</w:t>
      </w:r>
      <w:r>
        <w:t>Rmd</w:t>
      </w:r>
    </w:p>
    <w:p w:rsidR="001B262B" w:rsidRDefault="006147E4">
      <w:pPr>
        <w:pStyle w:val="BodyText"/>
      </w:pPr>
      <w:r>
        <w:t xml:space="preserve">where inputTexFileName.tex is the name of the source tex file. The rest are optional. If you did not provide the rest, it will not use any bibliography file (which you can add later) and also it will save the Rmd file in the source text directory with </w:t>
      </w:r>
      <w:r>
        <w:t>the same file name appending “-converted” and with file extension Rmd.</w:t>
      </w:r>
    </w:p>
    <w:p w:rsidR="001B262B" w:rsidRDefault="006147E4">
      <w:pPr>
        <w:pStyle w:val="BodyText"/>
      </w:pPr>
      <w:r>
        <w:t>-b bibFile.bib means user provides a bibliography file, which in this example is named bibFile. It can use only bibliography files in bibTex format. This you specify if you have referen</w:t>
      </w:r>
      <w:r>
        <w:t>ces in your document.</w:t>
      </w:r>
    </w:p>
    <w:p w:rsidR="001B262B" w:rsidRDefault="006147E4">
      <w:pPr>
        <w:pStyle w:val="BodyText"/>
      </w:pPr>
      <w:r>
        <w:lastRenderedPageBreak/>
        <w:t>-o outputRmdFileName.Rmd means user provides a name the the R markdown file. If it is not provided, then the program will create a file in the same directory with the same source filename with -converted appended with extension Rmd in</w:t>
      </w:r>
      <w:r>
        <w:t xml:space="preserve"> the same directory as the source file.</w:t>
      </w:r>
    </w:p>
    <w:p w:rsidR="001B262B" w:rsidRDefault="006147E4">
      <w:pPr>
        <w:pStyle w:val="BodyText"/>
      </w:pPr>
      <w:r>
        <w:t>Next step:You can edit and add R markdown chunks and then use knitr to convert the Rmd file to html or word document.</w:t>
      </w:r>
    </w:p>
    <w:p w:rsidR="001B262B" w:rsidRDefault="006147E4">
      <w:pPr>
        <w:pStyle w:val="BodyText"/>
      </w:pPr>
      <w:r>
        <w:t>As an example, I used Example1.tex and bibFile1.bib, and ran</w:t>
      </w:r>
    </w:p>
    <w:p w:rsidR="001B262B" w:rsidRDefault="006147E4">
      <w:pPr>
        <w:pStyle w:val="BodyText"/>
      </w:pPr>
      <w:r>
        <w:t>tex2rmd Example1.tex -b bibFile1.bib</w:t>
      </w:r>
    </w:p>
    <w:p w:rsidR="001B262B" w:rsidRDefault="006147E4">
      <w:pPr>
        <w:pStyle w:val="BodyText"/>
      </w:pPr>
      <w:r>
        <w:t>creates Example1-converted.Rmd. You can download those files to a directory of your choice and ran the above command. If you want to convert this Rmd file to other formats, you also need to download any other files it refers to, in this case tree1.png file</w:t>
      </w:r>
      <w:r>
        <w:t>. I then use knitr on the file Example1-converted.Rmd to create html file Example1-converted.html. You can also create word document using the appropriate yml commands on the top of the Rmd file.</w:t>
      </w:r>
    </w:p>
    <w:p w:rsidR="001B262B" w:rsidRDefault="006147E4">
      <w:pPr>
        <w:pStyle w:val="Heading1"/>
      </w:pPr>
      <w:bookmarkStart w:id="5" w:name="sec3"/>
      <w:bookmarkStart w:id="6" w:name="_Toc58078984"/>
      <w:r>
        <w:t>3</w:t>
      </w:r>
      <w:r>
        <w:tab/>
        <w:t>Referencing</w:t>
      </w:r>
      <w:bookmarkEnd w:id="5"/>
      <w:bookmarkEnd w:id="6"/>
    </w:p>
    <w:p w:rsidR="001B262B" w:rsidRDefault="006147E4">
      <w:pPr>
        <w:pStyle w:val="FirstParagraph"/>
      </w:pPr>
      <w:r>
        <w:t>The program converts pretty much all formats o</w:t>
      </w:r>
      <w:r>
        <w:t>f citation. For instance, the text with citations as given below converts perfectly.</w:t>
      </w:r>
    </w:p>
    <w:p w:rsidR="001B262B" w:rsidRDefault="006147E4">
      <w:pPr>
        <w:pStyle w:val="BodyText"/>
      </w:pPr>
      <w:r>
        <w:t xml:space="preserve">The main findings in (Aalen, Borgan, and Gjessing </w:t>
      </w:r>
      <w:hyperlink w:anchor="ref-Aalen.etal_2008_Book">
        <w:r>
          <w:rPr>
            <w:rStyle w:val="Hyperlink"/>
          </w:rPr>
          <w:t>2008</w:t>
        </w:r>
      </w:hyperlink>
      <w:r>
        <w:t xml:space="preserve">; Kanherkar, Bhatia-Dey, and Csoka </w:t>
      </w:r>
      <w:hyperlink w:anchor="ref-Kanherkar.etal_2014">
        <w:r>
          <w:rPr>
            <w:rStyle w:val="Hyperlink"/>
          </w:rPr>
          <w:t>2014</w:t>
        </w:r>
      </w:hyperlink>
      <w:r>
        <w:t>) are that …. For the effects of early childhood factors on school and labor market outcomes, see Heckman and Raut (</w:t>
      </w:r>
      <w:hyperlink w:anchor="ref-Heckman.Raut_2016">
        <w:r>
          <w:rPr>
            <w:rStyle w:val="Hyperlink"/>
          </w:rPr>
          <w:t>2016</w:t>
        </w:r>
      </w:hyperlink>
      <w:r>
        <w:t>), and also see Raut (</w:t>
      </w:r>
      <w:hyperlink w:anchor="ref-Raut_2018">
        <w:r>
          <w:rPr>
            <w:rStyle w:val="Hyperlink"/>
          </w:rPr>
          <w:t>2018</w:t>
        </w:r>
      </w:hyperlink>
      <w:r>
        <w:t xml:space="preserve">) </w:t>
      </w:r>
      <w:r>
        <w:t xml:space="preserve">with an updated references. In machine learning, (Altae-Tran </w:t>
      </w:r>
      <w:hyperlink w:anchor="ref-Altae-Tran_2016">
        <w:r>
          <w:rPr>
            <w:rStyle w:val="Hyperlink"/>
          </w:rPr>
          <w:t>2016</w:t>
        </w:r>
      </w:hyperlink>
      <w:r>
        <w:t xml:space="preserve">; Altae-Tran et al. </w:t>
      </w:r>
      <w:hyperlink w:anchor="ref-Altae-Tran.etal_2017">
        <w:r>
          <w:rPr>
            <w:rStyle w:val="Hyperlink"/>
          </w:rPr>
          <w:t>2017</w:t>
        </w:r>
      </w:hyperlink>
      <w:r>
        <w:t>) show how an RNN can be used with limited data.</w:t>
      </w:r>
    </w:p>
    <w:p w:rsidR="001B262B" w:rsidRDefault="006147E4">
      <w:pPr>
        <w:pStyle w:val="Heading1"/>
      </w:pPr>
      <w:bookmarkStart w:id="7" w:name="sec4"/>
      <w:bookmarkStart w:id="8" w:name="_Toc58078985"/>
      <w:r>
        <w:t>4</w:t>
      </w:r>
      <w:r>
        <w:tab/>
        <w:t>Equations</w:t>
      </w:r>
      <w:bookmarkEnd w:id="7"/>
      <w:bookmarkEnd w:id="8"/>
    </w:p>
    <w:p w:rsidR="001B262B" w:rsidRDefault="006147E4">
      <w:pPr>
        <w:pStyle w:val="FirstParagraph"/>
      </w:pPr>
      <w:r>
        <w:t>Here is an eqnarray environment copied directly from the Latex source file of my paper, Raut (</w:t>
      </w:r>
      <w:hyperlink w:anchor="ref-Raut_2019">
        <w:r>
          <w:rPr>
            <w:rStyle w:val="Hyperlink"/>
          </w:rPr>
          <w:t>2019</w:t>
        </w:r>
      </w:hyperlink>
      <w:r>
        <w:t>).</w:t>
      </w:r>
    </w:p>
    <w:p w:rsidR="001B262B" w:rsidRDefault="006147E4">
      <w:pPr>
        <w:pStyle w:val="BodyText"/>
      </w:pPr>
      <m:oMathPara>
        <m:oMathParaPr>
          <m:jc m:val="center"/>
        </m:oMathParaPr>
        <m:oMath>
          <m:m>
            <m:mPr>
              <m:plcHide m:val="1"/>
              <m:mcs>
                <m:mc>
                  <m:mcPr>
                    <m:count m:val="1"/>
                    <m:mcJc m:val="right"/>
                  </m:mcPr>
                </m:mc>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λ</m:t>
                    </m:r>
                  </m:e>
                  <m:sub>
                    <m:r>
                      <w:rPr>
                        <w:rFonts w:ascii="Cambria Math" w:hAnsi="Cambria Math"/>
                      </w:rPr>
                      <m:t>h</m:t>
                    </m:r>
                    <m:r>
                      <w:rPr>
                        <w:rFonts w:ascii="Cambria Math" w:hAnsi="Cambria Math"/>
                      </w:rPr>
                      <m:t>j</m:t>
                    </m:r>
                  </m:sub>
                </m:sSub>
                <m:r>
                  <w:rPr>
                    <w:rFonts w:ascii="Cambria Math" w:hAnsi="Cambria Math"/>
                  </w:rPr>
                  <m:t>(</m:t>
                </m:r>
                <m:r>
                  <w:rPr>
                    <w:rFonts w:ascii="Cambria Math" w:hAnsi="Cambria Math"/>
                  </w:rPr>
                  <m:t>t</m:t>
                </m:r>
                <m:r>
                  <w:rPr>
                    <w:rFonts w:ascii="Cambria Math" w:hAnsi="Cambria Math"/>
                  </w:rPr>
                  <m:t>)</m:t>
                </m:r>
              </m:e>
              <m:e>
                <m:r>
                  <w:rPr>
                    <w:rFonts w:ascii="Cambria Math" w:hAnsi="Cambria Math"/>
                  </w:rPr>
                  <m:t>=</m:t>
                </m:r>
              </m:e>
              <m:e>
                <m:limLow>
                  <m:limLowPr>
                    <m:ctrlPr>
                      <w:rPr>
                        <w:rFonts w:ascii="Cambria Math" w:hAnsi="Cambria Math"/>
                      </w:rPr>
                    </m:ctrlPr>
                  </m:limLowPr>
                  <m:e>
                    <m:r>
                      <m:rPr>
                        <m:nor/>
                      </m:rPr>
                      <m:t>lim</m:t>
                    </m:r>
                  </m:e>
                  <m:lim>
                    <m:r>
                      <w:rPr>
                        <w:rFonts w:ascii="Cambria Math" w:hAnsi="Cambria Math"/>
                      </w:rPr>
                      <m:t>Δt</m:t>
                    </m:r>
                    <m:r>
                      <w:rPr>
                        <w:rFonts w:ascii="Cambria Math" w:hAnsi="Cambria Math"/>
                      </w:rPr>
                      <m:t>→0</m:t>
                    </m:r>
                  </m:lim>
                </m:limLow>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j</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Δt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j</m:t>
                        </m:r>
                      </m:sub>
                    </m:sSub>
                    <m:d>
                      <m:dPr>
                        <m:ctrlPr>
                          <w:rPr>
                            <w:rFonts w:ascii="Cambria Math" w:hAnsi="Cambria Math"/>
                          </w:rPr>
                        </m:ctrlPr>
                      </m:dPr>
                      <m:e>
                        <m:r>
                          <w:rPr>
                            <w:rFonts w:ascii="Cambria Math" w:hAnsi="Cambria Math"/>
                          </w:rPr>
                          <m:t>t</m:t>
                        </m:r>
                        <m:r>
                          <w:rPr>
                            <w:rFonts w:ascii="Cambria Math" w:hAnsi="Cambria Math"/>
                          </w:rPr>
                          <m:t>,</m:t>
                        </m:r>
                        <m:r>
                          <w:rPr>
                            <w:rFonts w:ascii="Cambria Math" w:hAnsi="Cambria Math"/>
                          </w:rPr>
                          <m:t>t</m:t>
                        </m:r>
                      </m:e>
                    </m:d>
                  </m:num>
                  <m:den>
                    <m:r>
                      <w:rPr>
                        <w:rFonts w:ascii="Cambria Math" w:hAnsi="Cambria Math"/>
                      </w:rPr>
                      <m:t>Δt</m:t>
                    </m:r>
                  </m:den>
                </m:f>
                <m:r>
                  <w:rPr>
                    <w:rFonts w:ascii="Cambria Math" w:hAnsi="Cambria Math"/>
                  </w:rPr>
                  <m:t>,</m:t>
                </m:r>
                <m:r>
                  <m:rPr>
                    <m:nor/>
                  </m:rPr>
                  <m:t xml:space="preserve">for </m:t>
                </m:r>
                <m:r>
                  <w:rPr>
                    <w:rFonts w:ascii="Cambria Math" w:hAnsi="Cambria Math"/>
                  </w:rPr>
                  <m:t>j</m:t>
                </m:r>
                <m:r>
                  <w:rPr>
                    <w:rFonts w:ascii="Cambria Math" w:hAnsi="Cambria Math"/>
                  </w:rPr>
                  <m:t>∈</m:t>
                </m:r>
                <m:r>
                  <w:rPr>
                    <w:rFonts w:ascii="Cambria Math" w:hAnsi="Cambria Math"/>
                  </w:rPr>
                  <m:t>S</m:t>
                </m:r>
                <m:r>
                  <w:rPr>
                    <w:rFonts w:ascii="Cambria Math" w:hAnsi="Cambria Math"/>
                  </w:rPr>
                  <m:t>,</m:t>
                </m:r>
                <m:r>
                  <m:rPr>
                    <m:nor/>
                  </m:rPr>
                  <m:t xml:space="preserve"> which for </m:t>
                </m:r>
                <m:r>
                  <w:rPr>
                    <w:rFonts w:ascii="Cambria Math" w:hAnsi="Cambria Math"/>
                  </w:rPr>
                  <m:t>j</m:t>
                </m:r>
                <m:r>
                  <w:rPr>
                    <w:rFonts w:ascii="Cambria Math" w:hAnsi="Cambria Math"/>
                  </w:rPr>
                  <m:t>≠h</m:t>
                </m:r>
                <m:r>
                  <m:rPr>
                    <m:nor/>
                  </m:rPr>
                  <m:t xml:space="preserve"> becomes</m:t>
                </m:r>
              </m:e>
            </m:mr>
            <m:mr>
              <m:e/>
              <m:e>
                <m:r>
                  <w:rPr>
                    <w:rFonts w:ascii="Cambria Math" w:hAnsi="Cambria Math"/>
                  </w:rPr>
                  <m:t>=</m:t>
                </m:r>
              </m:e>
              <m:e>
                <m:limLow>
                  <m:limLowPr>
                    <m:ctrlPr>
                      <w:rPr>
                        <w:rFonts w:ascii="Cambria Math" w:hAnsi="Cambria Math"/>
                      </w:rPr>
                    </m:ctrlPr>
                  </m:limLowPr>
                  <m:e>
                    <m:r>
                      <m:rPr>
                        <m:nor/>
                      </m:rPr>
                      <m:t>lim</m:t>
                    </m:r>
                  </m:e>
                  <m:lim>
                    <m:r>
                      <w:rPr>
                        <w:rFonts w:ascii="Cambria Math" w:hAnsi="Cambria Math"/>
                      </w:rPr>
                      <m:t>Δt</m:t>
                    </m:r>
                    <m:r>
                      <w:rPr>
                        <w:rFonts w:ascii="Cambria Math" w:hAnsi="Cambria Math"/>
                      </w:rPr>
                      <m:t>→0</m:t>
                    </m:r>
                  </m:lim>
                </m:limLow>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j</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Δt</m:t>
                    </m:r>
                    <m:r>
                      <w:rPr>
                        <w:rFonts w:ascii="Cambria Math" w:hAnsi="Cambria Math"/>
                      </w:rPr>
                      <m:t>)</m:t>
                    </m:r>
                  </m:num>
                  <m:den>
                    <m:r>
                      <w:rPr>
                        <w:rFonts w:ascii="Cambria Math" w:hAnsi="Cambria Math"/>
                      </w:rPr>
                      <m:t>Δt</m:t>
                    </m:r>
                  </m:den>
                </m:f>
                <m:r>
                  <w:rPr>
                    <w:rFonts w:ascii="Cambria Math" w:hAnsi="Cambria Math"/>
                  </w:rPr>
                  <m:t>,</m:t>
                </m:r>
                <m:r>
                  <m:rPr>
                    <m:nor/>
                  </m:rPr>
                  <m:t xml:space="preserve"> a</m:t>
                </m:r>
                <m:r>
                  <m:rPr>
                    <m:nor/>
                  </m:rPr>
                  <m:t xml:space="preserve">nd for </m:t>
                </m:r>
                <m:r>
                  <w:rPr>
                    <w:rFonts w:ascii="Cambria Math" w:hAnsi="Cambria Math"/>
                  </w:rPr>
                  <m:t>j</m:t>
                </m:r>
                <m:r>
                  <w:rPr>
                    <w:rFonts w:ascii="Cambria Math" w:hAnsi="Cambria Math"/>
                  </w:rPr>
                  <m:t>=h</m:t>
                </m:r>
                <m:r>
                  <m:rPr>
                    <m:nor/>
                  </m:rPr>
                  <m:t xml:space="preserve"> becomes</m:t>
                </m:r>
              </m:e>
            </m:mr>
            <m:mr>
              <m:e>
                <m:sSub>
                  <m:sSubPr>
                    <m:ctrlPr>
                      <w:rPr>
                        <w:rFonts w:ascii="Cambria Math" w:hAnsi="Cambria Math"/>
                      </w:rPr>
                    </m:ctrlPr>
                  </m:sSubPr>
                  <m:e>
                    <m:r>
                      <w:rPr>
                        <w:rFonts w:ascii="Cambria Math" w:hAnsi="Cambria Math"/>
                      </w:rPr>
                      <m:t>λ</m:t>
                    </m:r>
                  </m:e>
                  <m:sub>
                    <m:r>
                      <w:rPr>
                        <w:rFonts w:ascii="Cambria Math" w:hAnsi="Cambria Math"/>
                      </w:rPr>
                      <m:t>hh</m:t>
                    </m:r>
                  </m:sub>
                </m:sSub>
                <m:r>
                  <w:rPr>
                    <w:rFonts w:ascii="Cambria Math" w:hAnsi="Cambria Math"/>
                  </w:rPr>
                  <m:t>(</m:t>
                </m:r>
                <m:r>
                  <w:rPr>
                    <w:rFonts w:ascii="Cambria Math" w:hAnsi="Cambria Math"/>
                  </w:rPr>
                  <m:t>t</m:t>
                </m:r>
                <m:r>
                  <w:rPr>
                    <w:rFonts w:ascii="Cambria Math" w:hAnsi="Cambria Math"/>
                  </w:rPr>
                  <m:t>)</m:t>
                </m:r>
              </m:e>
              <m:e>
                <m:r>
                  <w:rPr>
                    <w:rFonts w:ascii="Cambria Math" w:hAnsi="Cambria Math"/>
                  </w:rPr>
                  <m:t>=</m:t>
                </m:r>
              </m:e>
              <m:e>
                <m:limLow>
                  <m:limLowPr>
                    <m:ctrlPr>
                      <w:rPr>
                        <w:rFonts w:ascii="Cambria Math" w:hAnsi="Cambria Math"/>
                      </w:rPr>
                    </m:ctrlPr>
                  </m:limLowPr>
                  <m:e>
                    <m:r>
                      <m:rPr>
                        <m:nor/>
                      </m:rPr>
                      <m:t>lim</m:t>
                    </m:r>
                  </m:e>
                  <m:lim>
                    <m:r>
                      <w:rPr>
                        <w:rFonts w:ascii="Cambria Math" w:hAnsi="Cambria Math"/>
                      </w:rPr>
                      <m:t>Δt</m:t>
                    </m:r>
                    <m:r>
                      <w:rPr>
                        <w:rFonts w:ascii="Cambria Math" w:hAnsi="Cambria Math"/>
                      </w:rPr>
                      <m:t>→0</m:t>
                    </m:r>
                  </m:lim>
                </m:limLow>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hh</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Δt</m:t>
                    </m:r>
                    <m:r>
                      <w:rPr>
                        <w:rFonts w:ascii="Cambria Math" w:hAnsi="Cambria Math"/>
                      </w:rPr>
                      <m:t>)-1</m:t>
                    </m:r>
                  </m:num>
                  <m:den>
                    <m:r>
                      <w:rPr>
                        <w:rFonts w:ascii="Cambria Math" w:hAnsi="Cambria Math"/>
                      </w:rPr>
                      <m:t>Δt</m:t>
                    </m:r>
                  </m:den>
                </m:f>
                <m:r>
                  <w:rPr>
                    <w:rFonts w:ascii="Cambria Math" w:hAnsi="Cambria Math"/>
                  </w:rPr>
                  <m:t>  </m:t>
                </m:r>
                <m:r>
                  <w:rPr>
                    <w:rFonts w:ascii="Cambria Math" w:hAnsi="Cambria Math"/>
                  </w:rPr>
                  <m:t>(4.1)</m:t>
                </m:r>
              </m:e>
            </m:mr>
            <m:mr>
              <m:e/>
              <m:e>
                <m:r>
                  <w:rPr>
                    <w:rFonts w:ascii="Cambria Math" w:hAnsi="Cambria Math"/>
                  </w:rPr>
                  <m:t>=</m:t>
                </m:r>
              </m:e>
              <m:e>
                <m:r>
                  <w:rPr>
                    <w:rFonts w:ascii="Cambria Math" w:hAnsi="Cambria Math"/>
                  </w:rPr>
                  <m:t>-</m:t>
                </m:r>
                <m:limLow>
                  <m:limLowPr>
                    <m:ctrlPr>
                      <w:rPr>
                        <w:rFonts w:ascii="Cambria Math" w:hAnsi="Cambria Math"/>
                      </w:rPr>
                    </m:ctrlPr>
                  </m:limLowPr>
                  <m:e>
                    <m:r>
                      <m:rPr>
                        <m:nor/>
                      </m:rPr>
                      <m:t>lim</m:t>
                    </m:r>
                  </m:e>
                  <m:lim>
                    <m:r>
                      <w:rPr>
                        <w:rFonts w:ascii="Cambria Math" w:hAnsi="Cambria Math"/>
                      </w:rPr>
                      <m:t>Δt</m:t>
                    </m:r>
                    <m:r>
                      <w:rPr>
                        <w:rFonts w:ascii="Cambria Math" w:hAnsi="Cambria Math"/>
                      </w:rPr>
                      <m:t>→0</m:t>
                    </m:r>
                  </m:lim>
                </m:limLow>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j</m:t>
                        </m:r>
                        <m:r>
                          <w:rPr>
                            <w:rFonts w:ascii="Cambria Math" w:hAnsi="Cambria Math"/>
                          </w:rPr>
                          <m:t>≠h</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j</m:t>
                            </m:r>
                          </m:sub>
                        </m:sSub>
                      </m:e>
                    </m:nary>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Δt</m:t>
                    </m:r>
                    <m:r>
                      <w:rPr>
                        <w:rFonts w:ascii="Cambria Math" w:hAnsi="Cambria Math"/>
                      </w:rPr>
                      <m:t>)</m:t>
                    </m:r>
                  </m:num>
                  <m:den>
                    <m:r>
                      <w:rPr>
                        <w:rFonts w:ascii="Cambria Math" w:hAnsi="Cambria Math"/>
                      </w:rPr>
                      <m:t>Δt</m:t>
                    </m:r>
                  </m:den>
                </m:f>
              </m:e>
            </m:mr>
            <m:mr>
              <m:e/>
              <m:e>
                <m:r>
                  <w:rPr>
                    <w:rFonts w:ascii="Cambria Math" w:hAnsi="Cambria Math"/>
                  </w:rPr>
                  <m:t>=</m:t>
                </m:r>
              </m:e>
              <m:e>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w:rPr>
                        <w:rFonts w:ascii="Cambria Math" w:hAnsi="Cambria Math"/>
                      </w:rPr>
                      <m:t>≠h</m:t>
                    </m:r>
                  </m:sub>
                  <m:sup>
                    <m:r>
                      <w:rPr>
                        <w:rFonts w:ascii="Cambria Math" w:hAnsi="Cambria Math"/>
                      </w:rPr>
                      <m:t>​</m:t>
                    </m:r>
                  </m:sup>
                  <m:e>
                    <m:sSub>
                      <m:sSubPr>
                        <m:ctrlPr>
                          <w:rPr>
                            <w:rFonts w:ascii="Cambria Math" w:hAnsi="Cambria Math"/>
                          </w:rPr>
                        </m:ctrlPr>
                      </m:sSubPr>
                      <m:e>
                        <m:r>
                          <w:rPr>
                            <w:rFonts w:ascii="Cambria Math" w:hAnsi="Cambria Math"/>
                          </w:rPr>
                          <m:t>λ</m:t>
                        </m:r>
                      </m:e>
                      <m:sub>
                        <m:r>
                          <w:rPr>
                            <w:rFonts w:ascii="Cambria Math" w:hAnsi="Cambria Math"/>
                          </w:rPr>
                          <m:t>h</m:t>
                        </m:r>
                        <m:r>
                          <w:rPr>
                            <w:rFonts w:ascii="Cambria Math" w:hAnsi="Cambria Math"/>
                          </w:rPr>
                          <m:t>j</m:t>
                        </m:r>
                      </m:sub>
                    </m:sSub>
                  </m:e>
                </m:nary>
                <m:d>
                  <m:dPr>
                    <m:ctrlPr>
                      <w:rPr>
                        <w:rFonts w:ascii="Cambria Math" w:hAnsi="Cambria Math"/>
                      </w:rPr>
                    </m:ctrlPr>
                  </m:dPr>
                  <m:e>
                    <m:r>
                      <w:rPr>
                        <w:rFonts w:ascii="Cambria Math" w:hAnsi="Cambria Math"/>
                      </w:rPr>
                      <m:t>t</m:t>
                    </m:r>
                  </m:e>
                </m:d>
              </m:e>
            </m:mr>
          </m:m>
        </m:oMath>
      </m:oMathPara>
    </w:p>
    <w:p w:rsidR="001B262B" w:rsidRDefault="006147E4">
      <w:pPr>
        <w:pStyle w:val="FirstParagraph"/>
      </w:pPr>
      <w:r>
        <w:lastRenderedPageBreak/>
        <w:t xml:space="preserve">See section 7 for more equations. You can have inline math such as </w:t>
      </w:r>
      <m:oMath>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dμ</m:t>
        </m:r>
        <m:r>
          <w:rPr>
            <w:rFonts w:ascii="Cambria Math" w:hAnsi="Cambria Math"/>
          </w:rPr>
          <m:t>(</m:t>
        </m:r>
        <m:r>
          <w:rPr>
            <w:rFonts w:ascii="Cambria Math" w:hAnsi="Cambria Math"/>
          </w:rPr>
          <m:t>x</m:t>
        </m:r>
        <m:r>
          <w:rPr>
            <w:rFonts w:ascii="Cambria Math" w:hAnsi="Cambria Math"/>
          </w:rPr>
          <m:t>)</m:t>
        </m:r>
      </m:oMath>
      <w:r>
        <w:t>. Make sure there are trailing spaces of the text of thi</w:t>
      </w:r>
      <w:r>
        <w:t>s inline math equation, that sometimes do not convert properly.</w:t>
      </w:r>
    </w:p>
    <w:p w:rsidR="001B262B" w:rsidRDefault="006147E4">
      <w:pPr>
        <w:pStyle w:val="Heading1"/>
      </w:pPr>
      <w:bookmarkStart w:id="9" w:name="sec5"/>
      <w:bookmarkStart w:id="10" w:name="_Toc58078986"/>
      <w:r>
        <w:t>5</w:t>
      </w:r>
      <w:r>
        <w:tab/>
        <w:t>Figures and Tables</w:t>
      </w:r>
      <w:bookmarkEnd w:id="9"/>
      <w:bookmarkEnd w:id="10"/>
    </w:p>
    <w:p w:rsidR="001B262B" w:rsidRDefault="006147E4">
      <w:pPr>
        <w:pStyle w:val="FirstParagraph"/>
      </w:pPr>
      <w:r>
        <w:t>This is an example of converting a Latex figure with includegraphics in png format. It can be referred in the text using Figure 5.1.</w:t>
      </w:r>
    </w:p>
    <w:p w:rsidR="001B262B" w:rsidRDefault="006147E4" w:rsidP="00C33290">
      <w:pPr>
        <w:jc w:val="center"/>
      </w:pPr>
      <w:r>
        <w:rPr>
          <w:noProof/>
        </w:rPr>
        <w:drawing>
          <wp:inline distT="0" distB="0" distL="0" distR="0">
            <wp:extent cx="3306470" cy="3167482"/>
            <wp:effectExtent l="0" t="0" r="0" b="0"/>
            <wp:docPr id="1" name="Picture" descr="Figure 5.1: Extensive form representation of the multi-stage game, \Gamma(h_t)"/>
            <wp:cNvGraphicFramePr/>
            <a:graphic xmlns:a="http://schemas.openxmlformats.org/drawingml/2006/main">
              <a:graphicData uri="http://schemas.openxmlformats.org/drawingml/2006/picture">
                <pic:pic xmlns:pic="http://schemas.openxmlformats.org/drawingml/2006/picture">
                  <pic:nvPicPr>
                    <pic:cNvPr id="0" name="Picture" descr="tree1.png"/>
                    <pic:cNvPicPr>
                      <a:picLocks noChangeAspect="1" noChangeArrowheads="1"/>
                    </pic:cNvPicPr>
                  </pic:nvPicPr>
                  <pic:blipFill>
                    <a:blip r:embed="rId8"/>
                    <a:stretch>
                      <a:fillRect/>
                    </a:stretch>
                  </pic:blipFill>
                  <pic:spPr bwMode="auto">
                    <a:xfrm>
                      <a:off x="0" y="0"/>
                      <a:ext cx="3317075" cy="3177641"/>
                    </a:xfrm>
                    <a:prstGeom prst="rect">
                      <a:avLst/>
                    </a:prstGeom>
                    <a:noFill/>
                    <a:ln w="9525">
                      <a:noFill/>
                      <a:headEnd/>
                      <a:tailEnd/>
                    </a:ln>
                  </pic:spPr>
                </pic:pic>
              </a:graphicData>
            </a:graphic>
          </wp:inline>
        </w:drawing>
      </w:r>
    </w:p>
    <w:p w:rsidR="001B262B" w:rsidRDefault="006147E4">
      <w:pPr>
        <w:pStyle w:val="ImageCaption"/>
      </w:pPr>
      <w:r>
        <w:t>Figure 5.1: Extensive form represent</w:t>
      </w:r>
      <w:r>
        <w:t xml:space="preserve">ation of the multi-stage game, </w:t>
      </w:r>
      <m:oMath>
        <m: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oMath>
    </w:p>
    <w:p w:rsidR="001B262B" w:rsidRDefault="006147E4">
      <w:pPr>
        <w:pStyle w:val="BodyText"/>
      </w:pPr>
      <w:r>
        <w:t>The software can also convert Tikz pictures as well. Here is one taken from my Raut (</w:t>
      </w:r>
      <w:hyperlink w:anchor="ref-Raut_2017a">
        <w:r>
          <w:rPr>
            <w:rStyle w:val="Hyperlink"/>
          </w:rPr>
          <w:t>2017</w:t>
        </w:r>
      </w:hyperlink>
      <w:r>
        <w:t>) paper.</w:t>
      </w:r>
    </w:p>
    <w:p w:rsidR="001B262B" w:rsidRDefault="006147E4" w:rsidP="00C33290">
      <w:pPr>
        <w:jc w:val="center"/>
      </w:pPr>
      <w:r>
        <w:rPr>
          <w:noProof/>
        </w:rPr>
        <w:drawing>
          <wp:inline distT="0" distB="0" distL="0" distR="0">
            <wp:extent cx="4391566" cy="2070397"/>
            <wp:effectExtent l="0" t="0" r="0" b="0"/>
            <wp:docPr id="2" name="Picture" descr="Figure 5.2: Sets of individuals (\tau_t,s_{t-1}) for whom \sigma(\tau_t,s_{t-1})=s_t and \sigma(\tau _t,s_{t-1})=s^{\prime }_t"/>
            <wp:cNvGraphicFramePr/>
            <a:graphic xmlns:a="http://schemas.openxmlformats.org/drawingml/2006/main">
              <a:graphicData uri="http://schemas.openxmlformats.org/drawingml/2006/picture">
                <pic:pic xmlns:pic="http://schemas.openxmlformats.org/drawingml/2006/picture">
                  <pic:nvPicPr>
                    <pic:cNvPr id="0" name="Picture" descr="TempConv_files/figure-docx/fig2-1.png"/>
                    <pic:cNvPicPr>
                      <a:picLocks noChangeAspect="1" noChangeArrowheads="1"/>
                    </pic:cNvPicPr>
                  </pic:nvPicPr>
                  <pic:blipFill>
                    <a:blip r:embed="rId9"/>
                    <a:stretch>
                      <a:fillRect/>
                    </a:stretch>
                  </pic:blipFill>
                  <pic:spPr bwMode="auto">
                    <a:xfrm>
                      <a:off x="0" y="0"/>
                      <a:ext cx="4391566" cy="2070397"/>
                    </a:xfrm>
                    <a:prstGeom prst="rect">
                      <a:avLst/>
                    </a:prstGeom>
                    <a:noFill/>
                    <a:ln w="9525">
                      <a:noFill/>
                      <a:headEnd/>
                      <a:tailEnd/>
                    </a:ln>
                  </pic:spPr>
                </pic:pic>
              </a:graphicData>
            </a:graphic>
          </wp:inline>
        </w:drawing>
      </w:r>
    </w:p>
    <w:p w:rsidR="001B262B" w:rsidRDefault="006147E4">
      <w:pPr>
        <w:pStyle w:val="ImageCaption"/>
      </w:pPr>
      <w:r>
        <w:t xml:space="preserve">Figure 5.2: Sets of individuals </w:t>
      </w:r>
      <m:oMath>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r>
        <w:t xml:space="preserve"> for whom </w:t>
      </w:r>
      <m:oMath>
        <m: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and </w:t>
      </w:r>
      <m:oMath>
        <m: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m:t>
            </m:r>
          </m:sup>
        </m:sSubSup>
      </m:oMath>
    </w:p>
    <w:p w:rsidR="001B262B" w:rsidRDefault="006147E4">
      <w:pPr>
        <w:pStyle w:val="BodyText"/>
      </w:pPr>
      <w:r>
        <w:lastRenderedPageBreak/>
        <w:t xml:space="preserve">The following table can be referenced like “Table 5.1” or like “Table 5.1”. Both produce the same link as you can see. </w:t>
      </w:r>
    </w:p>
    <w:p w:rsidR="001B262B" w:rsidRDefault="006147E4">
      <w:pPr>
        <w:pStyle w:val="TableCaption"/>
      </w:pPr>
      <w:r>
        <w:t xml:space="preserve">Table 5.1: Steady-state local learning and subgame perfect gift equilibria for the economy with </w:t>
      </w:r>
      <m:oMath>
        <m:sSub>
          <m:sSubPr>
            <m:ctrlPr>
              <w:rPr>
                <w:rFonts w:ascii="Cambria Math" w:hAnsi="Cambria Math"/>
              </w:rPr>
            </m:ctrlPr>
          </m:sSubPr>
          <m:e>
            <m:r>
              <w:rPr>
                <w:rFonts w:ascii="Cambria Math" w:hAnsi="Cambria Math"/>
              </w:rPr>
              <m:t>δ</m:t>
            </m:r>
          </m:e>
          <m:sub>
            <m:r>
              <w:rPr>
                <w:rFonts w:ascii="Cambria Math" w:hAnsi="Cambria Math"/>
              </w:rPr>
              <m:t>0</m:t>
            </m:r>
          </m:sub>
        </m:sSub>
        <m:r>
          <w:rPr>
            <w:rFonts w:ascii="Cambria Math" w:hAnsi="Cambria Math"/>
          </w:rPr>
          <m:t>=0.35</m:t>
        </m:r>
      </m:oMath>
    </w:p>
    <w:tbl>
      <w:tblPr>
        <w:tblW w:w="0" w:type="pct"/>
        <w:tblLook w:val="07E0" w:firstRow="1" w:lastRow="1" w:firstColumn="1" w:lastColumn="1" w:noHBand="1" w:noVBand="1"/>
        <w:tblCaption w:val="Table 5.1: Steady-state local learning and subgame perfect gift equilibria for the economy with \delta _{0}=0.35"/>
      </w:tblPr>
      <w:tblGrid>
        <w:gridCol w:w="1727"/>
      </w:tblGrid>
      <w:tr w:rsidR="001B262B">
        <w:tc>
          <w:tcPr>
            <w:tcW w:w="0" w:type="auto"/>
            <w:tcBorders>
              <w:bottom w:val="single" w:sz="0" w:space="0" w:color="auto"/>
            </w:tcBorders>
            <w:vAlign w:val="bottom"/>
          </w:tcPr>
          <w:p w:rsidR="001B262B" w:rsidRDefault="006147E4">
            <w:pPr>
              <w:pStyle w:val="Compact"/>
              <w:jc w:val="left"/>
            </w:pPr>
            <w:r>
              <w:t>X.your.da</w:t>
            </w:r>
            <w:r>
              <w:t>ta.frame.</w:t>
            </w:r>
          </w:p>
        </w:tc>
      </w:tr>
      <w:tr w:rsidR="001B262B">
        <w:tc>
          <w:tcPr>
            <w:tcW w:w="0" w:type="auto"/>
          </w:tcPr>
          <w:p w:rsidR="001B262B" w:rsidRDefault="006147E4">
            <w:pPr>
              <w:pStyle w:val="Compact"/>
              <w:jc w:val="left"/>
            </w:pPr>
            <w:r>
              <w:t>your data frame</w:t>
            </w:r>
          </w:p>
        </w:tc>
      </w:tr>
    </w:tbl>
    <w:p w:rsidR="001B262B" w:rsidRDefault="006147E4">
      <w:pPr>
        <w:pStyle w:val="Heading1"/>
      </w:pPr>
      <w:bookmarkStart w:id="11" w:name="sec6"/>
      <w:bookmarkStart w:id="12" w:name="_Toc58078987"/>
      <w:r>
        <w:t>6</w:t>
      </w:r>
      <w:r>
        <w:tab/>
        <w:t>List like environments: itemize, enumerate, description</w:t>
      </w:r>
      <w:bookmarkEnd w:id="11"/>
      <w:bookmarkEnd w:id="12"/>
    </w:p>
    <w:p w:rsidR="001B262B" w:rsidRDefault="006147E4">
      <w:pPr>
        <w:pStyle w:val="FirstParagraph"/>
      </w:pPr>
      <w:r>
        <w:t>Enumerate items</w:t>
      </w:r>
    </w:p>
    <w:p w:rsidR="001B262B" w:rsidRDefault="006147E4" w:rsidP="00C33290">
      <w:pPr>
        <w:pStyle w:val="Compact"/>
        <w:numPr>
          <w:ilvl w:val="0"/>
          <w:numId w:val="16"/>
        </w:numPr>
        <w:jc w:val="left"/>
      </w:pPr>
      <w:r>
        <w:t>One</w:t>
      </w:r>
    </w:p>
    <w:p w:rsidR="001B262B" w:rsidRDefault="006147E4" w:rsidP="00C33290">
      <w:pPr>
        <w:pStyle w:val="Compact"/>
        <w:numPr>
          <w:ilvl w:val="0"/>
          <w:numId w:val="16"/>
        </w:numPr>
        <w:jc w:val="left"/>
      </w:pPr>
      <w:r>
        <w:t>Two</w:t>
      </w:r>
    </w:p>
    <w:p w:rsidR="001B262B" w:rsidRDefault="006147E4" w:rsidP="00C33290">
      <w:pPr>
        <w:pStyle w:val="Compact"/>
        <w:numPr>
          <w:ilvl w:val="0"/>
          <w:numId w:val="16"/>
        </w:numPr>
        <w:jc w:val="left"/>
      </w:pPr>
      <w:r>
        <w:t>Three</w:t>
      </w:r>
    </w:p>
    <w:p w:rsidR="001B262B" w:rsidRDefault="006147E4">
      <w:pPr>
        <w:pStyle w:val="FirstParagraph"/>
      </w:pPr>
      <w:r>
        <w:t>Description items</w:t>
      </w:r>
    </w:p>
    <w:p w:rsidR="001B262B" w:rsidRDefault="006147E4">
      <w:pPr>
        <w:numPr>
          <w:ilvl w:val="0"/>
          <w:numId w:val="17"/>
        </w:numPr>
      </w:pPr>
      <w:r>
        <w:t>Can convert theorems and theorem like environments like proposition, lemma etc.</w:t>
      </w:r>
    </w:p>
    <w:p w:rsidR="001B262B" w:rsidRDefault="006147E4">
      <w:pPr>
        <w:numPr>
          <w:ilvl w:val="0"/>
          <w:numId w:val="17"/>
        </w:numPr>
      </w:pPr>
      <w:r>
        <w:t>Can convert proof environment.</w:t>
      </w:r>
    </w:p>
    <w:p w:rsidR="001B262B" w:rsidRDefault="006147E4">
      <w:pPr>
        <w:numPr>
          <w:ilvl w:val="0"/>
          <w:numId w:val="17"/>
        </w:numPr>
      </w:pPr>
      <w:r>
        <w:t>Can convert assumption and remark environments: Assumption is user created environment, and remarks either as Latex environment or user created latex environment.</w:t>
      </w:r>
    </w:p>
    <w:p w:rsidR="001B262B" w:rsidRDefault="006147E4">
      <w:pPr>
        <w:numPr>
          <w:ilvl w:val="0"/>
          <w:numId w:val="17"/>
        </w:numPr>
      </w:pPr>
      <w:r>
        <w:t>Figures: Can convert includegraphics with png files and embedded Tikz figure environment.</w:t>
      </w:r>
    </w:p>
    <w:p w:rsidR="001B262B" w:rsidRDefault="006147E4">
      <w:pPr>
        <w:numPr>
          <w:ilvl w:val="0"/>
          <w:numId w:val="17"/>
        </w:numPr>
      </w:pPr>
      <w:r>
        <w:t>Tab</w:t>
      </w:r>
      <w:r>
        <w:t>les: It converts tables as a Rmarkdown table chunk keeping only the label and caption of the Latex tables. The references to the table is also converted throughout the document. The content of a Latex table may involve complex structure and often created u</w:t>
      </w:r>
      <w:r>
        <w:t>sing excel or R and better left for various R packages to create those Rmarkdown table contents in the converted Rmarkdown document.</w:t>
      </w:r>
    </w:p>
    <w:p w:rsidR="001B262B" w:rsidRDefault="006147E4">
      <w:pPr>
        <w:numPr>
          <w:ilvl w:val="0"/>
          <w:numId w:val="17"/>
        </w:numPr>
      </w:pPr>
      <w:r>
        <w:t>It converts other Latex envirnments: quote, and other Latex commands as \section, \subsection, \subsubsection, \emph, \texb</w:t>
      </w:r>
      <w:r>
        <w:t xml:space="preserve">f \url \footnote. This document contains all these, so you can compare the source file and converted file to see those. For other examples, go to my publications page </w:t>
      </w:r>
      <w:hyperlink r:id="rId10">
        <w:r>
          <w:rPr>
            <w:rStyle w:val="Hyperlink"/>
          </w:rPr>
          <w:t>https://lakshmiraut.github.</w:t>
        </w:r>
        <w:r>
          <w:rPr>
            <w:rStyle w:val="Hyperlink"/>
          </w:rPr>
          <w:t>io/publication/</w:t>
        </w:r>
      </w:hyperlink>
      <w:r>
        <w:t xml:space="preserve">, click on the preprint button, or to my main page, </w:t>
      </w:r>
      <w:hyperlink r:id="rId11">
        <w:r>
          <w:rPr>
            <w:rStyle w:val="Hyperlink"/>
          </w:rPr>
          <w:t>https://lakshmiraut.github.io</w:t>
        </w:r>
      </w:hyperlink>
      <w:r>
        <w:t>.</w:t>
      </w:r>
    </w:p>
    <w:p w:rsidR="001B262B" w:rsidRDefault="006147E4">
      <w:pPr>
        <w:pStyle w:val="Heading1"/>
      </w:pPr>
      <w:bookmarkStart w:id="13" w:name="sec7"/>
      <w:bookmarkStart w:id="14" w:name="_Toc58078988"/>
      <w:r>
        <w:t>7</w:t>
      </w:r>
      <w:r>
        <w:tab/>
        <w:t>Theorem like environments</w:t>
      </w:r>
      <w:bookmarkEnd w:id="13"/>
      <w:bookmarkEnd w:id="14"/>
    </w:p>
    <w:p w:rsidR="001B262B" w:rsidRDefault="006147E4">
      <w:pPr>
        <w:pStyle w:val="FirstParagraph"/>
      </w:pPr>
      <w:r>
        <w:t>I illustrate the content of this section taking a section of my paper, Raut (</w:t>
      </w:r>
      <w:hyperlink w:anchor="ref-Raut_2017a">
        <w:r>
          <w:rPr>
            <w:rStyle w:val="Hyperlink"/>
          </w:rPr>
          <w:t>2017</w:t>
        </w:r>
      </w:hyperlink>
      <w:r>
        <w:t>). This involves definition, theorem and proof environments. Similarly, it will convert other theorem and theorem like environments of your Latex document.</w:t>
      </w:r>
    </w:p>
    <w:p w:rsidR="001B262B" w:rsidRDefault="001B262B">
      <w:pPr>
        <w:pStyle w:val="BodyText"/>
      </w:pPr>
    </w:p>
    <w:p w:rsidR="001B262B" w:rsidRDefault="006147E4">
      <w:pPr>
        <w:pStyle w:val="BodyText"/>
      </w:pPr>
      <w:bookmarkStart w:id="15" w:name="def:def1"/>
      <w:r>
        <w:lastRenderedPageBreak/>
        <w:t xml:space="preserve">Definition 7.1: </w:t>
      </w:r>
      <w:bookmarkEnd w:id="15"/>
      <w:r>
        <w:t xml:space="preserve"> Initial distribution </w:t>
      </w:r>
      <m:oMath>
        <m:sSup>
          <m:sSupPr>
            <m:ctrlPr>
              <w:rPr>
                <w:rFonts w:ascii="Cambria Math" w:hAnsi="Cambria Math"/>
              </w:rPr>
            </m:ctrlPr>
          </m:sSupPr>
          <m:e>
            <m:r>
              <w:rPr>
                <w:rFonts w:ascii="Cambria Math" w:hAnsi="Cambria Math"/>
              </w:rPr>
              <m:t>π</m:t>
            </m:r>
          </m:e>
          <m:sup>
            <m:r>
              <w:rPr>
                <w:rFonts w:ascii="Cambria Math" w:hAnsi="Cambria Math"/>
              </w:rPr>
              <m:t>0</m:t>
            </m:r>
          </m:sup>
        </m:sSup>
      </m:oMath>
      <w:r>
        <w:t xml:space="preserve"> of social groups in </w:t>
      </w:r>
      <m:oMath>
        <m:r>
          <m:rPr>
            <m:scr m:val="script"/>
            <m:sty m:val="p"/>
          </m:rPr>
          <w:rPr>
            <w:rFonts w:ascii="Cambria Math" w:hAnsi="Cambria Math"/>
          </w:rPr>
          <m:t>S</m:t>
        </m:r>
      </m:oMath>
      <w:r>
        <w:t xml:space="preserve">, is given. A </w:t>
      </w:r>
      <w:r>
        <w:rPr>
          <w:b/>
        </w:rPr>
        <w:t>signaling equilibrium</w:t>
      </w:r>
      <w:r>
        <w:t xml:space="preserve"> is a sequence of probability distributions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d>
          </m:e>
          <m:sub>
            <m:r>
              <w:rPr>
                <w:rFonts w:ascii="Cambria Math" w:hAnsi="Cambria Math"/>
              </w:rPr>
              <m:t>1</m:t>
            </m:r>
          </m:sub>
          <m:sup>
            <m:r>
              <w:rPr>
                <w:rFonts w:ascii="Cambria Math" w:hAnsi="Cambria Math"/>
              </w:rPr>
              <m:t>∞</m:t>
            </m:r>
          </m:sup>
        </m:sSubSup>
      </m:oMath>
      <w:r>
        <w:t xml:space="preserve"> and a sequence of optimal schooling decision rules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e>
                </m:d>
              </m:e>
            </m:d>
          </m:e>
          <m:sub>
            <m:r>
              <w:rPr>
                <w:rFonts w:ascii="Cambria Math" w:hAnsi="Cambria Math"/>
              </w:rPr>
              <m:t>1</m:t>
            </m:r>
          </m:sub>
          <m:sup>
            <m:r>
              <w:rPr>
                <w:rFonts w:ascii="Cambria Math" w:hAnsi="Cambria Math"/>
              </w:rPr>
              <m:t>∞</m:t>
            </m:r>
          </m:sup>
        </m:sSubSup>
      </m:oMath>
      <w:r>
        <w:t xml:space="preserve"> such that at each period </w:t>
      </w:r>
      <m:oMath>
        <m:r>
          <w:rPr>
            <w:rFonts w:ascii="Cambria Math" w:hAnsi="Cambria Math"/>
          </w:rPr>
          <m:t>t</m:t>
        </m:r>
        <m:r>
          <w:rPr>
            <w:rFonts w:ascii="Cambria Math" w:hAnsi="Cambria Math"/>
          </w:rPr>
          <m:t>≥1,</m:t>
        </m:r>
      </m:oMath>
    </w:p>
    <w:p w:rsidR="001B262B" w:rsidRDefault="006147E4">
      <w:pPr>
        <w:numPr>
          <w:ilvl w:val="0"/>
          <w:numId w:val="18"/>
        </w:numPr>
      </w:pPr>
      <w:r>
        <w:t xml:space="preserve">The induced wage schedule </w:t>
      </w:r>
      <m:oMath>
        <m:sSub>
          <m:sSubPr>
            <m:ctrlPr>
              <w:rPr>
                <w:rFonts w:ascii="Cambria Math" w:hAnsi="Cambria Math"/>
              </w:rPr>
            </m:ctrlPr>
          </m:sSubPr>
          <m:e>
            <m:r>
              <w:rPr>
                <w:rFonts w:ascii="Cambria Math" w:hAnsi="Cambria Math"/>
              </w:rPr>
              <m:t>w</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sSub>
          <m:sSubPr>
            <m:ctrlPr>
              <w:rPr>
                <w:rFonts w:ascii="Cambria Math" w:hAnsi="Cambria Math"/>
              </w:rPr>
            </m:ctrlPr>
          </m:sSubPr>
          <m:e>
            <m:r>
              <w:rPr>
                <w:rFonts w:ascii="Cambria Math" w:hAnsi="Cambria Math"/>
              </w:rPr>
              <m:t>q</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is a smooth concave function.</w:t>
      </w:r>
    </w:p>
    <w:p w:rsidR="001B262B" w:rsidRDefault="006147E4">
      <w:pPr>
        <w:numPr>
          <w:ilvl w:val="0"/>
          <w:numId w:val="18"/>
        </w:numPr>
      </w:pPr>
      <w:r>
        <w:t xml:space="preserve">Given </w:t>
      </w:r>
      <m:oMath>
        <m:sSub>
          <m:sSubPr>
            <m:ctrlPr>
              <w:rPr>
                <w:rFonts w:ascii="Cambria Math" w:hAnsi="Cambria Math"/>
              </w:rPr>
            </m:ctrlPr>
          </m:sSubPr>
          <m:e>
            <m:r>
              <w:rPr>
                <w:rFonts w:ascii="Cambria Math" w:hAnsi="Cambria Math"/>
              </w:rPr>
              <m:t>w</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oMath>
      <w:r>
        <w:t xml:space="preserve">, the function </w:t>
      </w:r>
      <m:oMath>
        <m:sSub>
          <m:sSubPr>
            <m:ctrlPr>
              <w:rPr>
                <w:rFonts w:ascii="Cambria Math" w:hAnsi="Cambria Math"/>
              </w:rPr>
            </m:ctrlPr>
          </m:sSubPr>
          <m:e>
            <m:r>
              <w:rPr>
                <w:rFonts w:ascii="Cambria Math" w:hAnsi="Cambria Math"/>
              </w:rPr>
              <m:t>σ</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e>
        </m:d>
      </m:oMath>
      <w:r>
        <w:t xml:space="preserve"> solves the schooling decision problem of each agent </w:t>
      </w:r>
      <m:oMath>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e>
        </m:d>
      </m:oMath>
      <w:r>
        <w:t>.</w:t>
      </w:r>
    </w:p>
    <w:p w:rsidR="001B262B" w:rsidRDefault="006147E4">
      <w:pPr>
        <w:numPr>
          <w:ilvl w:val="0"/>
          <w:numId w:val="18"/>
        </w:numPr>
      </w:pPr>
      <w:r>
        <w:t xml:space="preserve">The induced conditional distribution </w:t>
      </w:r>
      <m:oMath>
        <m:sSub>
          <m:sSubPr>
            <m:ctrlPr>
              <w:rPr>
                <w:rFonts w:ascii="Cambria Math" w:hAnsi="Cambria Math"/>
              </w:rPr>
            </m:ctrlPr>
          </m:sSubPr>
          <m:e>
            <m:acc>
              <m:accPr>
                <m:ctrlPr>
                  <w:rPr>
                    <w:rFonts w:ascii="Cambria Math" w:hAnsi="Cambria Math"/>
                  </w:rPr>
                </m:ctrlPr>
              </m:accPr>
              <m:e>
                <m:r>
                  <w:rPr>
                    <w:rFonts w:ascii="Cambria Math" w:hAnsi="Cambria Math"/>
                  </w:rPr>
                  <m:t>q</m:t>
                </m:r>
              </m:e>
            </m:acc>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oMath>
      <w:r>
        <w:t xml:space="preserve"> of </w:t>
      </w:r>
      <m:oMath>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given the optimal solution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e>
        </m:d>
      </m:oMath>
      <w:r>
        <w:t xml:space="preserve"> obtained</w:t>
      </w:r>
      <w:r>
        <w:t xml:space="preserve"> by using Bayes rule coincides with the anticipated conditional distribution </w:t>
      </w:r>
      <m:oMath>
        <m:sSub>
          <m:sSubPr>
            <m:ctrlPr>
              <w:rPr>
                <w:rFonts w:ascii="Cambria Math" w:hAnsi="Cambria Math"/>
              </w:rPr>
            </m:ctrlPr>
          </m:sSubPr>
          <m:e>
            <m:r>
              <w:rPr>
                <w:rFonts w:ascii="Cambria Math" w:hAnsi="Cambria Math"/>
              </w:rPr>
              <m:t>q</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oMath>
      <w:r>
        <w:t xml:space="preserve"> for all </w:t>
      </w:r>
      <m:oMath>
        <m:sSub>
          <m:sSubPr>
            <m:ctrlPr>
              <w:rPr>
                <w:rFonts w:ascii="Cambria Math" w:hAnsi="Cambria Math"/>
              </w:rPr>
            </m:ctrlPr>
          </m:sSubPr>
          <m:e>
            <m:r>
              <w:rPr>
                <w:rFonts w:ascii="Cambria Math" w:hAnsi="Cambria Math"/>
              </w:rPr>
              <m:t>s</m:t>
            </m:r>
          </m:e>
          <m:sub>
            <m:r>
              <w:rPr>
                <w:rFonts w:ascii="Cambria Math" w:hAnsi="Cambria Math"/>
              </w:rPr>
              <m:t>t</m:t>
            </m:r>
          </m:sub>
        </m:sSub>
      </m:oMath>
      <w:r>
        <w:t>.</w:t>
      </w:r>
    </w:p>
    <w:p w:rsidR="001B262B" w:rsidRDefault="006147E4">
      <w:pPr>
        <w:pStyle w:val="FirstParagraph"/>
      </w:pPr>
      <w:r>
        <w:t>I assume the following:</w:t>
      </w:r>
    </w:p>
    <w:p w:rsidR="001B262B" w:rsidRDefault="001B262B">
      <w:pPr>
        <w:pStyle w:val="BodyText"/>
      </w:pPr>
    </w:p>
    <w:p w:rsidR="001B262B" w:rsidRDefault="006147E4">
      <w:pPr>
        <w:pStyle w:val="BodyText"/>
      </w:pPr>
      <w:r>
        <w:rPr>
          <w:b/>
        </w:rPr>
        <w:t xml:space="preserve">Assumption A1: </w:t>
      </w:r>
      <w:r>
        <w:t xml:space="preserve"> </w:t>
      </w:r>
      <m:oMath>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r>
        <w:t xml:space="preserve"> </w:t>
      </w:r>
      <m:oMath>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e>
        </m:d>
        <m:r>
          <w:rPr>
            <w:rFonts w:ascii="Cambria Math" w:hAnsi="Cambria Math"/>
          </w:rPr>
          <m:t>,</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d>
          <m:dPr>
            <m:ctrlPr>
              <w:rPr>
                <w:rFonts w:ascii="Cambria Math" w:hAnsi="Cambria Math"/>
              </w:rPr>
            </m:ctrlPr>
          </m:dPr>
          <m:e/>
        </m:d>
      </m:oMath>
      <w:r>
        <w:t xml:space="preserve"> is smooth, monotonically increasing and concave, </w:t>
      </w:r>
      <m:oMath>
        <m:sSub>
          <m:sSubPr>
            <m:ctrlPr>
              <w:rPr>
                <w:rFonts w:ascii="Cambria Math" w:hAnsi="Cambria Math"/>
              </w:rPr>
            </m:ctrlPr>
          </m:sSubPr>
          <m:e>
            <m:r>
              <w:rPr>
                <w:rFonts w:ascii="Cambria Math" w:hAnsi="Cambria Math"/>
              </w:rPr>
              <m:t>θ</m:t>
            </m:r>
          </m:e>
          <m:sub>
            <m:r>
              <w:rPr>
                <w:rFonts w:ascii="Cambria Math" w:hAnsi="Cambria Math"/>
              </w:rPr>
              <m:t>2</m:t>
            </m:r>
          </m:sub>
        </m:sSub>
        <m:d>
          <m:dPr>
            <m:ctrlPr>
              <w:rPr>
                <w:rFonts w:ascii="Cambria Math" w:hAnsi="Cambria Math"/>
              </w:rPr>
            </m:ctrlPr>
          </m:dPr>
          <m:e/>
        </m:d>
      </m:oMath>
      <w:r>
        <w:t xml:space="preserve"> </w:t>
      </w:r>
      <w:r>
        <w:t xml:space="preserve">and </w:t>
      </w:r>
      <m:oMath>
        <m:sSub>
          <m:sSubPr>
            <m:ctrlPr>
              <w:rPr>
                <w:rFonts w:ascii="Cambria Math" w:hAnsi="Cambria Math"/>
              </w:rPr>
            </m:ctrlPr>
          </m:sSubPr>
          <m:e>
            <m:r>
              <w:rPr>
                <w:rFonts w:ascii="Cambria Math" w:hAnsi="Cambria Math"/>
              </w:rPr>
              <m:t>θ</m:t>
            </m:r>
          </m:e>
          <m:sub>
            <m:r>
              <w:rPr>
                <w:rFonts w:ascii="Cambria Math" w:hAnsi="Cambria Math"/>
              </w:rPr>
              <m:t>3</m:t>
            </m:r>
          </m:sub>
        </m:sSub>
        <m:d>
          <m:dPr>
            <m:ctrlPr>
              <w:rPr>
                <w:rFonts w:ascii="Cambria Math" w:hAnsi="Cambria Math"/>
              </w:rPr>
            </m:ctrlPr>
          </m:dPr>
          <m:e>
            <m:r>
              <w:rPr>
                <w:rFonts w:ascii="Cambria Math" w:hAnsi="Cambria Math"/>
              </w:rPr>
              <m:t>.</m:t>
            </m:r>
          </m:e>
        </m:d>
      </m:oMath>
      <w:r>
        <w:t xml:space="preserve"> are smooth, monotonically decreasing.</w:t>
      </w:r>
    </w:p>
    <w:p w:rsidR="001B262B" w:rsidRDefault="001B262B">
      <w:pPr>
        <w:pStyle w:val="BodyText"/>
      </w:pPr>
    </w:p>
    <w:p w:rsidR="001B262B" w:rsidRDefault="006147E4">
      <w:pPr>
        <w:pStyle w:val="BodyText"/>
      </w:pPr>
      <w:r>
        <w:rPr>
          <w:b/>
        </w:rPr>
        <w:t xml:space="preserve">Assumption A2: </w:t>
      </w:r>
      <w:r>
        <w:t xml:space="preserve"> The distributions </w:t>
      </w:r>
      <m:oMath>
        <m:r>
          <w:rPr>
            <w:rFonts w:ascii="Cambria Math" w:hAnsi="Cambria Math"/>
          </w:rPr>
          <m:t>g</m:t>
        </m:r>
        <m:d>
          <m:dPr>
            <m:ctrlPr>
              <w:rPr>
                <w:rFonts w:ascii="Cambria Math" w:hAnsi="Cambria Math"/>
              </w:rPr>
            </m:ctrlPr>
          </m:dPr>
          <m:e>
            <m:r>
              <w:rPr>
                <w:rFonts w:ascii="Cambria Math" w:hAnsi="Cambria Math"/>
              </w:rPr>
              <m:t>τ</m:t>
            </m:r>
          </m:e>
        </m:d>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oMath>
      <w:r>
        <w:t xml:space="preserve"> belong to a concave conjugate family.</w:t>
      </w:r>
    </w:p>
    <w:p w:rsidR="001B262B" w:rsidRDefault="001B262B">
      <w:pPr>
        <w:pStyle w:val="BodyText"/>
      </w:pPr>
    </w:p>
    <w:p w:rsidR="001B262B" w:rsidRDefault="006147E4">
      <w:pPr>
        <w:pStyle w:val="BodyText"/>
      </w:pPr>
      <w:bookmarkStart w:id="16" w:name="thm:unnamed-chunk-1"/>
      <w:r>
        <w:t xml:space="preserve">Theorem 7.1: </w:t>
      </w:r>
      <w:bookmarkEnd w:id="16"/>
      <w:r>
        <w:t xml:space="preserve"> Under Assumption A1 and Assumption A2, there exists a signaling equilibrium.</w:t>
      </w:r>
    </w:p>
    <w:p w:rsidR="001B262B" w:rsidRDefault="006147E4">
      <w:pPr>
        <w:pStyle w:val="BodyText"/>
      </w:pPr>
      <w:r>
        <w:t xml:space="preserve"> </w:t>
      </w:r>
    </w:p>
    <w:p w:rsidR="001B262B" w:rsidRDefault="006147E4">
      <w:pPr>
        <w:pStyle w:val="BodyText"/>
      </w:pPr>
      <w:r>
        <w:t xml:space="preserve"> Proof.   </w:t>
      </w:r>
      <w:r>
        <w:t xml:space="preserve">Suppose we have found a smooth concave wage schedule </w:t>
      </w:r>
      <m:oMath>
        <m:sSub>
          <m:sSubPr>
            <m:ctrlPr>
              <w:rPr>
                <w:rFonts w:ascii="Cambria Math" w:hAnsi="Cambria Math"/>
              </w:rPr>
            </m:ctrlPr>
          </m:sSubPr>
          <m:e>
            <m:r>
              <w:rPr>
                <w:rFonts w:ascii="Cambria Math" w:hAnsi="Cambria Math"/>
              </w:rPr>
              <m:t>w</m:t>
            </m:r>
          </m:e>
          <m:sub>
            <m:r>
              <w:rPr>
                <w:rFonts w:ascii="Cambria Math" w:hAnsi="Cambria Math"/>
              </w:rPr>
              <m:t>t</m:t>
            </m:r>
          </m:sub>
        </m:sSub>
        <m:d>
          <m:dPr>
            <m:ctrlPr>
              <w:rPr>
                <w:rFonts w:ascii="Cambria Math" w:hAnsi="Cambria Math"/>
              </w:rPr>
            </m:ctrlPr>
          </m:dPr>
          <m:e>
            <m:r>
              <w:rPr>
                <w:rFonts w:ascii="Cambria Math" w:hAnsi="Cambria Math"/>
              </w:rPr>
              <m:t>s</m:t>
            </m:r>
          </m:e>
        </m:d>
      </m:oMath>
      <w:r>
        <w:t xml:space="preserve"> with a first derivative </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m:t>
            </m:r>
          </m:sup>
        </m:sSubSup>
        <m:d>
          <m:dPr>
            <m:ctrlPr>
              <w:rPr>
                <w:rFonts w:ascii="Cambria Math" w:hAnsi="Cambria Math"/>
              </w:rPr>
            </m:ctrlPr>
          </m:dPr>
          <m:e/>
        </m:d>
      </m:oMath>
      <w:r>
        <w:t>. The first order condition of the optimization problem is given by</w:t>
      </w:r>
    </w:p>
    <w:p w:rsidR="001B262B" w:rsidRDefault="006147E4">
      <w:pPr>
        <w:pStyle w:val="BodyText"/>
      </w:pPr>
      <m:oMathPara>
        <m:oMathParaPr>
          <m:jc m:val="center"/>
        </m:oMathParaPr>
        <m:oMath>
          <m:f>
            <m:fPr>
              <m:ctrlPr>
                <w:rPr>
                  <w:rFonts w:ascii="Cambria Math" w:hAnsi="Cambria Math"/>
                </w:rPr>
              </m:ctrlPr>
            </m:fPr>
            <m:num>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num>
            <m:den>
              <m:sSubSup>
                <m:sSubSupPr>
                  <m:ctrlPr>
                    <w:rPr>
                      <w:rFonts w:ascii="Cambria Math" w:hAnsi="Cambria Math"/>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m:t>
                  </m:r>
                </m:sub>
              </m:sSub>
            </m:e>
          </m:d>
          <m:sSub>
            <m:sSubPr>
              <m:ctrlPr>
                <w:rPr>
                  <w:rFonts w:ascii="Cambria Math" w:hAnsi="Cambria Math"/>
                </w:rPr>
              </m:ctrlPr>
            </m:sSubPr>
            <m:e>
              <m:r>
                <w:rPr>
                  <w:rFonts w:ascii="Cambria Math" w:hAnsi="Cambria Math"/>
                </w:rPr>
                <m:t>θ</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e>
          </m:d>
          <m:r>
            <w:rPr>
              <w:rFonts w:ascii="Cambria Math" w:hAnsi="Cambria Math"/>
            </w:rPr>
            <m:t>  </m:t>
          </m:r>
          <m:r>
            <w:rPr>
              <w:rFonts w:ascii="Cambria Math" w:hAnsi="Cambria Math"/>
            </w:rPr>
            <m:t>(7.1)</m:t>
          </m:r>
        </m:oMath>
      </m:oMathPara>
    </w:p>
    <w:p w:rsidR="001B262B" w:rsidRDefault="006147E4">
      <w:pPr>
        <w:pStyle w:val="FirstParagraph"/>
      </w:pPr>
      <w:r>
        <w:t>The rest is given in Raut (</w:t>
      </w:r>
      <w:hyperlink w:anchor="ref-Raut_2017a">
        <w:r>
          <w:rPr>
            <w:rStyle w:val="Hyperlink"/>
          </w:rPr>
          <w:t>2017</w:t>
        </w:r>
      </w:hyperlink>
      <w:r>
        <w:t>).</w:t>
      </w:r>
    </w:p>
    <w:p w:rsidR="001B262B" w:rsidRDefault="006147E4">
      <w:pPr>
        <w:pStyle w:val="BodyText"/>
      </w:pPr>
      <m:oMathPara>
        <m:oMath>
          <m:r>
            <w:rPr>
              <w:rFonts w:ascii="Cambria Math" w:hAnsi="Cambria Math"/>
            </w:rPr>
            <m:t>◼</m:t>
          </m:r>
        </m:oMath>
      </m:oMathPara>
    </w:p>
    <w:p w:rsidR="001B262B" w:rsidRDefault="006147E4">
      <w:pPr>
        <w:pStyle w:val="Heading1"/>
      </w:pPr>
      <w:bookmarkStart w:id="17" w:name="sec8"/>
      <w:bookmarkStart w:id="18" w:name="_Toc58078989"/>
      <w:r>
        <w:t>8</w:t>
      </w:r>
      <w:r>
        <w:tab/>
        <w:t>Remarks</w:t>
      </w:r>
      <w:bookmarkEnd w:id="17"/>
      <w:bookmarkEnd w:id="18"/>
    </w:p>
    <w:p w:rsidR="001B262B" w:rsidRDefault="006147E4">
      <w:pPr>
        <w:pStyle w:val="FirstParagraph"/>
      </w:pPr>
      <w:r>
        <w:t>Remarks are numbered and and can have labels which can used to refer to them in the text.</w:t>
      </w:r>
    </w:p>
    <w:p w:rsidR="001B262B" w:rsidRDefault="001B262B">
      <w:pPr>
        <w:pStyle w:val="BodyText"/>
      </w:pPr>
    </w:p>
    <w:p w:rsidR="001B262B" w:rsidRDefault="006147E4">
      <w:pPr>
        <w:pStyle w:val="BodyText"/>
      </w:pPr>
      <w:r>
        <w:rPr>
          <w:b/>
        </w:rPr>
        <w:t xml:space="preserve">Remark R1: </w:t>
      </w:r>
      <w:r>
        <w:t xml:space="preserve"> The processing of Rmarkdown file is best done in Rstudio. It can also be done in R. You need to have the following R packages i</w:t>
      </w:r>
      <w:r>
        <w:t xml:space="preserve">n R or Rstudio, issuing command: install.packages(c(“knitr”,“rmarkdown”,“bookdown”,“reticulate”,“pdftools”,“magick”)). Package reticulate is needed if you want to incorporate python codes in Rmarkdown document. </w:t>
      </w:r>
      <w:r>
        <w:lastRenderedPageBreak/>
        <w:t>Apart from R, you need to have a Latex docume</w:t>
      </w:r>
      <w:r>
        <w:t>nt processing system such as Miktex for windows and Tex Live for Linux. You also need pandoc which is automatically installed with RStudio installation, otherwise you need this package. You also need to pandoc’s pandoc-crossref package that can work with y</w:t>
      </w:r>
      <w:r>
        <w:t>our pandoc package.</w:t>
      </w:r>
    </w:p>
    <w:p w:rsidR="001B262B" w:rsidRDefault="001B262B">
      <w:pPr>
        <w:pStyle w:val="BodyText"/>
      </w:pPr>
    </w:p>
    <w:p w:rsidR="001B262B" w:rsidRDefault="006147E4">
      <w:pPr>
        <w:pStyle w:val="BodyText"/>
      </w:pPr>
      <w:r>
        <w:rPr>
          <w:b/>
        </w:rPr>
        <w:t xml:space="preserve">Remark R2: </w:t>
      </w:r>
      <w:r>
        <w:t xml:space="preserve"> This remark can be referred in the text. In the latex document using its convention. To see how it is to be done in Rmarkdown, see the converted Rmarkdown document and the text below it.</w:t>
      </w:r>
    </w:p>
    <w:p w:rsidR="001B262B" w:rsidRDefault="006147E4">
      <w:pPr>
        <w:pStyle w:val="BodyText"/>
      </w:pPr>
      <w:r>
        <w:t>The bibliography also can be convert</w:t>
      </w:r>
      <w:r>
        <w:t>ed.</w:t>
      </w:r>
    </w:p>
    <w:p w:rsidR="001B262B" w:rsidRDefault="006147E4">
      <w:pPr>
        <w:pStyle w:val="Heading1"/>
      </w:pPr>
      <w:bookmarkStart w:id="19" w:name="references"/>
      <w:bookmarkStart w:id="20" w:name="_Toc58078990"/>
      <w:r>
        <w:t>References</w:t>
      </w:r>
      <w:bookmarkEnd w:id="19"/>
      <w:bookmarkEnd w:id="20"/>
    </w:p>
    <w:p w:rsidR="001B262B" w:rsidRDefault="006147E4">
      <w:pPr>
        <w:pStyle w:val="Bibliography"/>
      </w:pPr>
      <w:bookmarkStart w:id="21" w:name="ref-Aalen.etal_2008_Book"/>
      <w:bookmarkStart w:id="22" w:name="refs"/>
      <w:r>
        <w:t xml:space="preserve">Aalen, Odd O., Ørnulf Borgan, and Håkon K. Gjessing. 2008. </w:t>
      </w:r>
      <w:r>
        <w:rPr>
          <w:i/>
        </w:rPr>
        <w:t>Survival and Event History Analysis</w:t>
      </w:r>
      <w:r>
        <w:t xml:space="preserve">. Survival Analysis, Stochastic Process. Springer New York. </w:t>
      </w:r>
      <w:hyperlink r:id="rId12">
        <w:r>
          <w:rPr>
            <w:rStyle w:val="Hyperlink"/>
          </w:rPr>
          <w:t>https://doi.org/10.1007/97</w:t>
        </w:r>
        <w:r>
          <w:rPr>
            <w:rStyle w:val="Hyperlink"/>
          </w:rPr>
          <w:t>8-0-387-68560-1</w:t>
        </w:r>
      </w:hyperlink>
      <w:r>
        <w:t>.</w:t>
      </w:r>
    </w:p>
    <w:p w:rsidR="001B262B" w:rsidRDefault="006147E4">
      <w:pPr>
        <w:pStyle w:val="Bibliography"/>
      </w:pPr>
      <w:bookmarkStart w:id="23" w:name="ref-Altae-Tran_2016"/>
      <w:bookmarkEnd w:id="21"/>
      <w:r>
        <w:t xml:space="preserve">Altae-Tran, Han. 2016. “RNNs for Model Predictive Control in Unknown Dynamical Systems with Low Sampling Rates.” </w:t>
      </w:r>
      <w:r>
        <w:rPr>
          <w:i/>
        </w:rPr>
        <w:t>Working Paper, Stanford University</w:t>
      </w:r>
      <w:r>
        <w:t>.</w:t>
      </w:r>
    </w:p>
    <w:p w:rsidR="001B262B" w:rsidRDefault="006147E4">
      <w:pPr>
        <w:pStyle w:val="Bibliography"/>
      </w:pPr>
      <w:bookmarkStart w:id="24" w:name="ref-Altae-Tran.etal_2017"/>
      <w:bookmarkEnd w:id="23"/>
      <w:r>
        <w:t>Altae-Tran, Han, Bharath Ramsundar, Aneesh S. Pappu, and Vijay Pande. 2017. “Low Data Drug</w:t>
      </w:r>
      <w:r>
        <w:t xml:space="preserve"> Discovery with One-Shot Learning.” </w:t>
      </w:r>
      <w:r>
        <w:rPr>
          <w:i/>
        </w:rPr>
        <w:t>ACS Central Science</w:t>
      </w:r>
      <w:r>
        <w:t xml:space="preserve"> 3 (4): 283–93. </w:t>
      </w:r>
      <w:hyperlink r:id="rId13">
        <w:r>
          <w:rPr>
            <w:rStyle w:val="Hyperlink"/>
          </w:rPr>
          <w:t>https://doi.org/10.1021/acscentsci.6b00367</w:t>
        </w:r>
      </w:hyperlink>
      <w:r>
        <w:t>.</w:t>
      </w:r>
    </w:p>
    <w:p w:rsidR="001B262B" w:rsidRDefault="006147E4">
      <w:pPr>
        <w:pStyle w:val="Bibliography"/>
      </w:pPr>
      <w:bookmarkStart w:id="25" w:name="ref-Heckman.Raut_2016"/>
      <w:bookmarkEnd w:id="24"/>
      <w:r>
        <w:t>Heckman, James J., and Lakshmi K. Raut. 2016. “Intergenerational Long-Term Effe</w:t>
      </w:r>
      <w:r>
        <w:t xml:space="preserve">cts of Preschool-Structural Estimates from a Discrete Dynamic Programming Model.” Published: Preschool. </w:t>
      </w:r>
      <w:r>
        <w:rPr>
          <w:i/>
        </w:rPr>
        <w:t>Journal of Econometrics</w:t>
      </w:r>
      <w:r>
        <w:t xml:space="preserve"> 191 (1): 164–75. </w:t>
      </w:r>
      <w:hyperlink r:id="rId14">
        <w:r>
          <w:rPr>
            <w:rStyle w:val="Hyperlink"/>
          </w:rPr>
          <w:t>https://doi.org/10.1016/j.jeconom.2015.10.001</w:t>
        </w:r>
      </w:hyperlink>
      <w:r>
        <w:t>.</w:t>
      </w:r>
    </w:p>
    <w:p w:rsidR="001B262B" w:rsidRDefault="006147E4">
      <w:pPr>
        <w:pStyle w:val="Bibliography"/>
      </w:pPr>
      <w:bookmarkStart w:id="26" w:name="ref-Kanherkar.etal_2014"/>
      <w:bookmarkEnd w:id="25"/>
      <w:r>
        <w:t xml:space="preserve">Kanherkar, Riya R., Naina Bhatia-Dey, and Antonei B. Csoka. 2014. “Epigenetics Across the Human Lifespan.” </w:t>
      </w:r>
      <w:r>
        <w:rPr>
          <w:i/>
        </w:rPr>
        <w:t>Frontiers in Cell and Developmental Biology</w:t>
      </w:r>
      <w:r>
        <w:t xml:space="preserve"> 2 (3): 124–28. </w:t>
      </w:r>
      <w:hyperlink r:id="rId15">
        <w:r>
          <w:rPr>
            <w:rStyle w:val="Hyperlink"/>
          </w:rPr>
          <w:t>https://doi.org/10.3389/fcell</w:t>
        </w:r>
        <w:r>
          <w:rPr>
            <w:rStyle w:val="Hyperlink"/>
          </w:rPr>
          <w:t>.2014.00049</w:t>
        </w:r>
      </w:hyperlink>
      <w:r>
        <w:t>.</w:t>
      </w:r>
    </w:p>
    <w:p w:rsidR="001B262B" w:rsidRDefault="006147E4">
      <w:pPr>
        <w:pStyle w:val="Bibliography"/>
      </w:pPr>
      <w:bookmarkStart w:id="27" w:name="ref-Raut_2017a"/>
      <w:bookmarkEnd w:id="26"/>
      <w:r>
        <w:t xml:space="preserve">Raut, Lakshmi K. 2017. “Early Childhood Development, Earnings Inequality and Social Mobility in an Education Signaling Model.” Working: Signaling. </w:t>
      </w:r>
      <w:r>
        <w:rPr>
          <w:i/>
        </w:rPr>
        <w:t>Draft Presented at the 2017 ASSA Meetings</w:t>
      </w:r>
      <w:r>
        <w:t xml:space="preserve">. </w:t>
      </w:r>
      <w:hyperlink r:id="rId16">
        <w:r>
          <w:rPr>
            <w:rStyle w:val="Hyperlink"/>
          </w:rPr>
          <w:t>https://www.aeaweb.org/conference/2017/preliminary/paper/7aG7haY5</w:t>
        </w:r>
      </w:hyperlink>
      <w:r>
        <w:t>.</w:t>
      </w:r>
    </w:p>
    <w:p w:rsidR="001B262B" w:rsidRDefault="006147E4">
      <w:pPr>
        <w:pStyle w:val="Bibliography"/>
      </w:pPr>
      <w:bookmarkStart w:id="28" w:name="ref-Raut_2019"/>
      <w:bookmarkEnd w:id="27"/>
      <w:r>
        <w:t xml:space="preserve">———. 2019. “Pathways to Disability and Mortality in Mid-Ages: Estimates from the Health and Retirement Study Data.” Working: SSA. </w:t>
      </w:r>
      <w:r>
        <w:rPr>
          <w:i/>
        </w:rPr>
        <w:t>Draft Presented at the 2019 SGE Annual Conference</w:t>
      </w:r>
      <w:r>
        <w:t>.</w:t>
      </w:r>
    </w:p>
    <w:p w:rsidR="001B262B" w:rsidRDefault="006147E4">
      <w:pPr>
        <w:pStyle w:val="Bibliography"/>
      </w:pPr>
      <w:bookmarkStart w:id="29" w:name="ref-Raut_2018"/>
      <w:bookmarkEnd w:id="28"/>
      <w:r>
        <w:t xml:space="preserve">———. 2018. “Long-Term Effects of Preschool on School Performance, Earnings and Social Mobility.” </w:t>
      </w:r>
      <w:r>
        <w:rPr>
          <w:i/>
        </w:rPr>
        <w:t>Studies in Microeconomics</w:t>
      </w:r>
      <w:r>
        <w:t xml:space="preserve"> 6 (1-2): 24–49. </w:t>
      </w:r>
      <w:hyperlink r:id="rId17">
        <w:r>
          <w:rPr>
            <w:rStyle w:val="Hyperlink"/>
          </w:rPr>
          <w:t>https:</w:t>
        </w:r>
        <w:r>
          <w:rPr>
            <w:rStyle w:val="Hyperlink"/>
          </w:rPr>
          <w:t>//doi.org/10.1177/2321022218802023</w:t>
        </w:r>
      </w:hyperlink>
      <w:r>
        <w:t>.</w:t>
      </w:r>
      <w:bookmarkStart w:id="30" w:name="_GoBack"/>
      <w:bookmarkEnd w:id="22"/>
      <w:bookmarkEnd w:id="29"/>
      <w:bookmarkEnd w:id="30"/>
    </w:p>
    <w:sectPr w:rsidR="001B262B">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7E4" w:rsidRDefault="006147E4">
      <w:pPr>
        <w:spacing w:after="0"/>
      </w:pPr>
      <w:r>
        <w:separator/>
      </w:r>
    </w:p>
  </w:endnote>
  <w:endnote w:type="continuationSeparator" w:id="0">
    <w:p w:rsidR="006147E4" w:rsidRDefault="006147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90408"/>
      <w:docPartObj>
        <w:docPartGallery w:val="Page Numbers (Bottom of Page)"/>
        <w:docPartUnique/>
      </w:docPartObj>
    </w:sdtPr>
    <w:sdtEndPr>
      <w:rPr>
        <w:noProof/>
      </w:rPr>
    </w:sdtEndPr>
    <w:sdtContent>
      <w:p w:rsidR="0072347C" w:rsidRDefault="006147E4">
        <w:pPr>
          <w:pStyle w:val="Footer"/>
          <w:jc w:val="center"/>
        </w:pPr>
        <w:r>
          <w:fldChar w:fldCharType="begin"/>
        </w:r>
        <w:r>
          <w:instrText xml:space="preserve"> PAGE   \* MERGEFORMAT </w:instrText>
        </w:r>
        <w:r>
          <w:fldChar w:fldCharType="separate"/>
        </w:r>
        <w:r w:rsidR="00C33290">
          <w:rPr>
            <w:noProof/>
          </w:rPr>
          <w:t>7</w:t>
        </w:r>
        <w:r>
          <w:rPr>
            <w:noProof/>
          </w:rPr>
          <w:fldChar w:fldCharType="end"/>
        </w:r>
      </w:p>
    </w:sdtContent>
  </w:sdt>
  <w:p w:rsidR="0072347C" w:rsidRDefault="006147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7E4" w:rsidRDefault="006147E4">
      <w:r>
        <w:separator/>
      </w:r>
    </w:p>
  </w:footnote>
  <w:footnote w:type="continuationSeparator" w:id="0">
    <w:p w:rsidR="006147E4" w:rsidRDefault="006147E4">
      <w:r>
        <w:continuationSeparator/>
      </w:r>
    </w:p>
  </w:footnote>
  <w:footnote w:id="1">
    <w:p w:rsidR="001B262B" w:rsidRDefault="006147E4">
      <w:pPr>
        <w:pStyle w:val="FootnoteText"/>
      </w:pPr>
      <w:r>
        <w:rPr>
          <w:rStyle w:val="FootnoteReference"/>
        </w:rPr>
        <w:footnoteRef/>
      </w:r>
      <w:r>
        <w:t xml:space="preserve"> Visiting Fellow, CEHD, University of Chicago, 1126 E. 59th St., Chicago, IL 60637, USA, </w:t>
      </w:r>
      <w:hyperlink r:id="rId1">
        <w:r>
          <w:rPr>
            <w:rStyle w:val="Hyperlink"/>
          </w:rPr>
          <w:t>lakshmiraut@gmail.com</w:t>
        </w:r>
      </w:hyperlink>
    </w:p>
  </w:footnote>
  <w:footnote w:id="2">
    <w:p w:rsidR="001B262B" w:rsidRDefault="006147E4">
      <w:pPr>
        <w:pStyle w:val="FootnoteText"/>
      </w:pPr>
      <w:r>
        <w:rPr>
          <w:rStyle w:val="FootnoteReference"/>
        </w:rPr>
        <w:footnoteRef/>
      </w:r>
      <w:r>
        <w:t xml:space="preserve">  Many thanks for comments.</w:t>
      </w:r>
    </w:p>
  </w:footnote>
  <w:footnote w:id="3">
    <w:p w:rsidR="001B262B" w:rsidRDefault="006147E4">
      <w:pPr>
        <w:pStyle w:val="FootnoteText"/>
      </w:pPr>
      <w:r>
        <w:rPr>
          <w:rStyle w:val="FootnoteReference"/>
        </w:rPr>
        <w:footnoteRef/>
      </w:r>
      <w:r>
        <w:t xml:space="preserve"> It does not convert latex tables completely. This version of the software only creates a template for table with caption and label, you need to fill in the d</w:t>
      </w:r>
      <w:r>
        <w:t>etails in R markdown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5F26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A454B4C"/>
    <w:multiLevelType w:val="multilevel"/>
    <w:tmpl w:val="A6DA85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nsid w:val="FFFFFF7C"/>
    <w:multiLevelType w:val="singleLevel"/>
    <w:tmpl w:val="AC4EADEE"/>
    <w:lvl w:ilvl="0">
      <w:start w:val="1"/>
      <w:numFmt w:val="decimal"/>
      <w:lvlText w:val="%1."/>
      <w:lvlJc w:val="left"/>
      <w:pPr>
        <w:tabs>
          <w:tab w:val="num" w:pos="1800"/>
        </w:tabs>
        <w:ind w:left="1800" w:hanging="360"/>
      </w:pPr>
    </w:lvl>
  </w:abstractNum>
  <w:abstractNum w:abstractNumId="3">
    <w:nsid w:val="FFFFFF7D"/>
    <w:multiLevelType w:val="singleLevel"/>
    <w:tmpl w:val="9BA696B2"/>
    <w:lvl w:ilvl="0">
      <w:start w:val="1"/>
      <w:numFmt w:val="decimal"/>
      <w:lvlText w:val="%1."/>
      <w:lvlJc w:val="left"/>
      <w:pPr>
        <w:tabs>
          <w:tab w:val="num" w:pos="1440"/>
        </w:tabs>
        <w:ind w:left="1440" w:hanging="360"/>
      </w:pPr>
    </w:lvl>
  </w:abstractNum>
  <w:abstractNum w:abstractNumId="4">
    <w:nsid w:val="FFFFFF7E"/>
    <w:multiLevelType w:val="singleLevel"/>
    <w:tmpl w:val="FBC69254"/>
    <w:lvl w:ilvl="0">
      <w:start w:val="1"/>
      <w:numFmt w:val="decimal"/>
      <w:lvlText w:val="%1."/>
      <w:lvlJc w:val="left"/>
      <w:pPr>
        <w:tabs>
          <w:tab w:val="num" w:pos="1080"/>
        </w:tabs>
        <w:ind w:left="1080" w:hanging="360"/>
      </w:pPr>
    </w:lvl>
  </w:abstractNum>
  <w:abstractNum w:abstractNumId="5">
    <w:nsid w:val="FFFFFF7F"/>
    <w:multiLevelType w:val="singleLevel"/>
    <w:tmpl w:val="CD84E642"/>
    <w:lvl w:ilvl="0">
      <w:start w:val="1"/>
      <w:numFmt w:val="decimal"/>
      <w:lvlText w:val="%1."/>
      <w:lvlJc w:val="left"/>
      <w:pPr>
        <w:tabs>
          <w:tab w:val="num" w:pos="720"/>
        </w:tabs>
        <w:ind w:left="720" w:hanging="360"/>
      </w:pPr>
    </w:lvl>
  </w:abstractNum>
  <w:abstractNum w:abstractNumId="6">
    <w:nsid w:val="FFFFFF80"/>
    <w:multiLevelType w:val="singleLevel"/>
    <w:tmpl w:val="CE60EE1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437EA638"/>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6260785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16F64FD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8D509ED0"/>
    <w:lvl w:ilvl="0">
      <w:start w:val="1"/>
      <w:numFmt w:val="decimal"/>
      <w:lvlText w:val="%1."/>
      <w:lvlJc w:val="left"/>
      <w:pPr>
        <w:tabs>
          <w:tab w:val="num" w:pos="360"/>
        </w:tabs>
        <w:ind w:left="360" w:hanging="360"/>
      </w:pPr>
    </w:lvl>
  </w:abstractNum>
  <w:abstractNum w:abstractNumId="11">
    <w:nsid w:val="FFFFFF89"/>
    <w:multiLevelType w:val="singleLevel"/>
    <w:tmpl w:val="10504A5E"/>
    <w:lvl w:ilvl="0">
      <w:start w:val="1"/>
      <w:numFmt w:val="bullet"/>
      <w:lvlText w:val=""/>
      <w:lvlJc w:val="left"/>
      <w:pPr>
        <w:tabs>
          <w:tab w:val="num" w:pos="360"/>
        </w:tabs>
        <w:ind w:left="360" w:hanging="360"/>
      </w:pPr>
      <w:rPr>
        <w:rFonts w:ascii="Symbol" w:hAnsi="Symbol" w:hint="default"/>
      </w:rPr>
    </w:lvl>
  </w:abstractNum>
  <w:abstractNum w:abstractNumId="12">
    <w:nsid w:val="0B3B0FC0"/>
    <w:multiLevelType w:val="hybridMultilevel"/>
    <w:tmpl w:val="DD186E2C"/>
    <w:lvl w:ilvl="0" w:tplc="57AAAFA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0E39F6"/>
    <w:multiLevelType w:val="multilevel"/>
    <w:tmpl w:val="EC007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2C1AE401"/>
    <w:multiLevelType w:val="multilevel"/>
    <w:tmpl w:val="3AE6DF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nsid w:val="71315DCA"/>
    <w:multiLevelType w:val="multilevel"/>
    <w:tmpl w:val="DF6CBE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6">
    <w:nsid w:val="7EAE1C6B"/>
    <w:multiLevelType w:val="hybridMultilevel"/>
    <w:tmpl w:val="6256D498"/>
    <w:lvl w:ilvl="0" w:tplc="12105228">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6"/>
  </w:num>
  <w:num w:numId="15">
    <w:abstractNumId w:val="14"/>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B262B"/>
    <w:rsid w:val="004E29B3"/>
    <w:rsid w:val="00590D07"/>
    <w:rsid w:val="006147E4"/>
    <w:rsid w:val="00784D58"/>
    <w:rsid w:val="008D6863"/>
    <w:rsid w:val="00B86B75"/>
    <w:rsid w:val="00BC48D5"/>
    <w:rsid w:val="00C3329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4E9BE8-E28F-40C0-AA46-CE455FB2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86F"/>
    <w:rPr>
      <w:rFonts w:ascii="Times New Roman" w:hAnsi="Times New Roman"/>
    </w:rPr>
  </w:style>
  <w:style w:type="paragraph" w:styleId="Heading1">
    <w:name w:val="heading 1"/>
    <w:basedOn w:val="Normal"/>
    <w:next w:val="BodyText"/>
    <w:uiPriority w:val="9"/>
    <w:qFormat/>
    <w:rsid w:val="00DF286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DF286F"/>
    <w:pPr>
      <w:keepNext/>
      <w:keepLines/>
      <w:spacing w:before="200" w:after="0"/>
      <w:outlineLvl w:val="1"/>
    </w:pPr>
    <w:rPr>
      <w:rFonts w:eastAsiaTheme="majorEastAsia" w:cstheme="majorBidi"/>
      <w:b/>
      <w:bCs/>
      <w:color w:val="365F91" w:themeColor="accent1" w:themeShade="BF"/>
      <w:sz w:val="32"/>
      <w:szCs w:val="32"/>
    </w:rPr>
  </w:style>
  <w:style w:type="paragraph" w:styleId="Heading3">
    <w:name w:val="heading 3"/>
    <w:basedOn w:val="Normal"/>
    <w:next w:val="BodyText"/>
    <w:uiPriority w:val="9"/>
    <w:unhideWhenUsed/>
    <w:qFormat/>
    <w:rsid w:val="00DF286F"/>
    <w:pPr>
      <w:keepNext/>
      <w:keepLines/>
      <w:spacing w:before="200" w:after="0"/>
      <w:outlineLvl w:val="2"/>
    </w:pPr>
    <w:rPr>
      <w:rFonts w:eastAsiaTheme="majorEastAsia" w:cstheme="majorBidi"/>
      <w:b/>
      <w:bCs/>
      <w:color w:val="548DD4" w:themeColor="text2" w:themeTint="99"/>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2CDB"/>
    <w:pPr>
      <w:spacing w:before="180" w:after="180"/>
      <w:ind w:firstLine="360"/>
      <w:jc w:val="both"/>
    </w:pPr>
  </w:style>
  <w:style w:type="paragraph" w:customStyle="1" w:styleId="FirstParagraph">
    <w:name w:val="First Paragraph"/>
    <w:basedOn w:val="BodyText"/>
    <w:next w:val="BodyText"/>
    <w:qFormat/>
  </w:style>
  <w:style w:type="paragraph" w:customStyle="1" w:styleId="Compact">
    <w:name w:val="Compact"/>
    <w:qFormat/>
    <w:rsid w:val="003F69E3"/>
    <w:pPr>
      <w:spacing w:after="0"/>
      <w:jc w:val="center"/>
    </w:pPr>
    <w:rPr>
      <w:rFonts w:ascii="Times New Roman" w:hAnsi="Times New Roman"/>
      <w:sz w:val="20"/>
    </w:rPr>
  </w:style>
  <w:style w:type="paragraph" w:styleId="Title">
    <w:name w:val="Title"/>
    <w:basedOn w:val="Normal"/>
    <w:next w:val="BodyText"/>
    <w:qFormat/>
    <w:rsid w:val="00766D49"/>
    <w:pPr>
      <w:keepNext/>
      <w:keepLines/>
      <w:pBdr>
        <w:top w:val="single" w:sz="4" w:space="1" w:color="auto"/>
      </w:pBdr>
      <w:spacing w:before="480" w:after="240"/>
      <w:jc w:val="center"/>
    </w:pPr>
    <w:rPr>
      <w:rFonts w:eastAsiaTheme="majorEastAsia" w:cstheme="majorBidi"/>
      <w:b/>
      <w:bCs/>
      <w:color w:val="00206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638A5"/>
    <w:pPr>
      <w:keepNext/>
      <w:keepLines/>
      <w:jc w:val="center"/>
    </w:pPr>
    <w:rPr>
      <w:rFonts w:ascii="Times New Roman" w:hAnsi="Times New Roman"/>
      <w:color w:val="4F81BD" w:themeColor="accent1"/>
      <w:sz w:val="28"/>
    </w:rPr>
  </w:style>
  <w:style w:type="paragraph" w:styleId="Date">
    <w:name w:val="Date"/>
    <w:next w:val="BodyText"/>
    <w:qFormat/>
    <w:rsid w:val="00A16942"/>
    <w:pPr>
      <w:keepNext/>
      <w:keepLines/>
      <w:pBdr>
        <w:bottom w:val="single" w:sz="18" w:space="1" w:color="auto"/>
      </w:pBdr>
      <w:jc w:val="center"/>
    </w:pPr>
    <w:rPr>
      <w:rFonts w:ascii="Times New Roman" w:hAnsi="Times New Roman"/>
      <w:color w:val="943634" w:themeColor="accen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20047"/>
    <w:pPr>
      <w:numPr>
        <w:numId w:val="14"/>
      </w:numPr>
    </w:pPr>
  </w:style>
  <w:style w:type="paragraph" w:styleId="BlockText">
    <w:name w:val="Block Text"/>
    <w:basedOn w:val="BodyText"/>
    <w:next w:val="BodyText"/>
    <w:uiPriority w:val="9"/>
    <w:unhideWhenUsed/>
    <w:qFormat/>
    <w:rsid w:val="00213DE9"/>
    <w:pPr>
      <w:spacing w:before="100" w:after="100"/>
      <w:ind w:left="720" w:right="720"/>
    </w:pPr>
    <w:rPr>
      <w:rFonts w:eastAsiaTheme="majorEastAsia" w:cstheme="majorBidi"/>
      <w:bCs/>
      <w:sz w:val="20"/>
      <w:szCs w:val="20"/>
    </w:rPr>
  </w:style>
  <w:style w:type="paragraph" w:styleId="FootnoteText">
    <w:name w:val="footnote text"/>
    <w:basedOn w:val="Normal"/>
    <w:link w:val="FootnoteTextChar"/>
    <w:uiPriority w:val="9"/>
    <w:unhideWhenUsed/>
    <w:qFormat/>
    <w:rsid w:val="00DF286F"/>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72CDB"/>
    <w:rPr>
      <w:rFonts w:ascii="Times New Roman" w:hAnsi="Times New Roman"/>
    </w:rPr>
  </w:style>
  <w:style w:type="paragraph" w:styleId="Header">
    <w:name w:val="header"/>
    <w:basedOn w:val="Normal"/>
    <w:link w:val="HeaderChar"/>
    <w:unhideWhenUsed/>
    <w:rsid w:val="0072347C"/>
    <w:pPr>
      <w:tabs>
        <w:tab w:val="center" w:pos="4680"/>
        <w:tab w:val="right" w:pos="9360"/>
      </w:tabs>
      <w:spacing w:after="0"/>
    </w:pPr>
  </w:style>
  <w:style w:type="character" w:customStyle="1" w:styleId="HeaderChar">
    <w:name w:val="Header Char"/>
    <w:basedOn w:val="DefaultParagraphFont"/>
    <w:link w:val="Header"/>
    <w:rsid w:val="0072347C"/>
    <w:rPr>
      <w:rFonts w:ascii="Times New Roman" w:hAnsi="Times New Roman"/>
    </w:rPr>
  </w:style>
  <w:style w:type="paragraph" w:styleId="Footer">
    <w:name w:val="footer"/>
    <w:basedOn w:val="Normal"/>
    <w:link w:val="FooterChar"/>
    <w:autoRedefine/>
    <w:uiPriority w:val="99"/>
    <w:unhideWhenUsed/>
    <w:rsid w:val="0072347C"/>
    <w:pPr>
      <w:tabs>
        <w:tab w:val="center" w:pos="4680"/>
        <w:tab w:val="right" w:pos="9360"/>
      </w:tabs>
      <w:spacing w:after="0"/>
    </w:pPr>
  </w:style>
  <w:style w:type="character" w:customStyle="1" w:styleId="FooterChar">
    <w:name w:val="Footer Char"/>
    <w:basedOn w:val="DefaultParagraphFont"/>
    <w:link w:val="Footer"/>
    <w:uiPriority w:val="99"/>
    <w:rsid w:val="0072347C"/>
    <w:rPr>
      <w:rFonts w:ascii="Times New Roman" w:hAnsi="Times New Roman"/>
    </w:rPr>
  </w:style>
  <w:style w:type="character" w:customStyle="1" w:styleId="FootnoteTextChar">
    <w:name w:val="Footnote Text Char"/>
    <w:basedOn w:val="DefaultParagraphFont"/>
    <w:link w:val="FootnoteText"/>
    <w:uiPriority w:val="9"/>
    <w:rsid w:val="007D4CF1"/>
    <w:rPr>
      <w:rFonts w:ascii="Times New Roman" w:hAnsi="Times New Roman"/>
      <w:sz w:val="22"/>
    </w:rPr>
  </w:style>
  <w:style w:type="paragraph" w:styleId="TOC1">
    <w:name w:val="toc 1"/>
    <w:basedOn w:val="Normal"/>
    <w:next w:val="Normal"/>
    <w:autoRedefine/>
    <w:uiPriority w:val="39"/>
    <w:unhideWhenUsed/>
    <w:rsid w:val="00C332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1/acscentsci.6b0036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akshmiraut/Tex2Rmd/releases/tag/V0.1" TargetMode="External"/><Relationship Id="rId12" Type="http://schemas.openxmlformats.org/officeDocument/2006/relationships/hyperlink" Target="https://doi.org/10.1007/978-0-387-68560-1" TargetMode="External"/><Relationship Id="rId17" Type="http://schemas.openxmlformats.org/officeDocument/2006/relationships/hyperlink" Target="https://doi.org/10.1177/2321022218802023" TargetMode="External"/><Relationship Id="rId2" Type="http://schemas.openxmlformats.org/officeDocument/2006/relationships/styles" Target="styles.xml"/><Relationship Id="rId16" Type="http://schemas.openxmlformats.org/officeDocument/2006/relationships/hyperlink" Target="https://www.aeaweb.org/conference/2017/preliminary/paper/7aG7haY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kshmiraut.github.io" TargetMode="External"/><Relationship Id="rId5" Type="http://schemas.openxmlformats.org/officeDocument/2006/relationships/footnotes" Target="footnotes.xml"/><Relationship Id="rId15" Type="http://schemas.openxmlformats.org/officeDocument/2006/relationships/hyperlink" Target="https://doi.org/10.3389/fcell.2014.00049" TargetMode="External"/><Relationship Id="rId10" Type="http://schemas.openxmlformats.org/officeDocument/2006/relationships/hyperlink" Target="https://lakshmiraut.github.io/public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jeconom.2015.10.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lakshmirau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Title of the paper</vt:lpstr>
    </vt:vector>
  </TitlesOfParts>
  <Company>Social Security Administration</Company>
  <LinksUpToDate>false</LinksUpToDate>
  <CharactersWithSpaces>14048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Tex2Rmd: A package to covert Latex document to R markdown and in turn to html and Microsoft word format</dc:title>
  <dc:creator>Lakshmi K. Raut</dc:creator>
  <cp:keywords/>
  <cp:lastModifiedBy>Lakshmi</cp:lastModifiedBy>
  <cp:revision>2</cp:revision>
  <dcterms:created xsi:type="dcterms:W3CDTF">2020-12-05T21:40:00Z</dcterms:created>
  <dcterms:modified xsi:type="dcterms:W3CDTF">2020-12-05T21:44:00Z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options">
    <vt:lpwstr/>
  </property>
  <property fmtid="{D5CDD505-2E9C-101B-9397-08002B2CF9AE}" pid="5" name="biblio-style">
    <vt:lpwstr>authoryear</vt:lpwstr>
  </property>
  <property fmtid="{D5CDD505-2E9C-101B-9397-08002B2CF9AE}" pid="6" name="bibliography">
    <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Red</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date">
    <vt:lpwstr>2020-12-05</vt:lpwstr>
  </property>
  <property fmtid="{D5CDD505-2E9C-101B-9397-08002B2CF9AE}" pid="18" name="df_print">
    <vt:lpwstr>kable</vt:lpwstr>
  </property>
  <property fmtid="{D5CDD505-2E9C-101B-9397-08002B2CF9AE}" pid="19" name="eq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geometry">
    <vt:lpwstr>left = 1.25in, right = 1.25in, top = 1in, bottom = 1in</vt:lpwstr>
  </property>
  <property fmtid="{D5CDD505-2E9C-101B-9397-08002B2CF9AE}" pid="28" name="header-includes">
    <vt:lpwstr/>
  </property>
  <property fmtid="{D5CDD505-2E9C-101B-9397-08002B2CF9AE}" pid="29" name="lastDelim">
    <vt:lpwstr>, </vt:lpwstr>
  </property>
  <property fmtid="{D5CDD505-2E9C-101B-9397-08002B2CF9AE}" pid="30" name="link-citations">
    <vt:lpwstr>yes</vt:lpwstr>
  </property>
  <property fmtid="{D5CDD505-2E9C-101B-9397-08002B2CF9AE}" pid="31" name="linkReferences">
    <vt:lpwstr>False</vt:lpwstr>
  </property>
  <property fmtid="{D5CDD505-2E9C-101B-9397-08002B2CF9AE}" pid="32" name="linkcolor">
    <vt:lpwstr>Red</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Title">
    <vt:lpwstr>List of Figures</vt:lpwstr>
  </property>
  <property fmtid="{D5CDD505-2E9C-101B-9397-08002B2CF9AE}" pid="37" name="lolTitle">
    <vt:lpwstr>List of Listings</vt:lpwstr>
  </property>
  <property fmtid="{D5CDD505-2E9C-101B-9397-08002B2CF9AE}" pid="38" name="lotTitle">
    <vt:lpwstr>List of Tables</vt:lpwstr>
  </property>
  <property fmtid="{D5CDD505-2E9C-101B-9397-08002B2CF9AE}" pid="39" name="lstLabels">
    <vt:lpwstr>arabic</vt:lpwstr>
  </property>
  <property fmtid="{D5CDD505-2E9C-101B-9397-08002B2CF9AE}" pid="40" name="lstPrefix">
    <vt:lpwstr/>
  </property>
  <property fmtid="{D5CDD505-2E9C-101B-9397-08002B2CF9AE}" pid="41" name="lstPrefixTemplate">
    <vt:lpwstr>p i</vt:lpwstr>
  </property>
  <property fmtid="{D5CDD505-2E9C-101B-9397-08002B2CF9AE}" pid="42" name="nameInLink">
    <vt:lpwstr>False</vt:lpwstr>
  </property>
  <property fmtid="{D5CDD505-2E9C-101B-9397-08002B2CF9AE}" pid="43" name="numberSections">
    <vt:lpwstr>False</vt:lpwstr>
  </property>
  <property fmtid="{D5CDD505-2E9C-101B-9397-08002B2CF9AE}" pid="44" name="output">
    <vt:lpwstr/>
  </property>
  <property fmtid="{D5CDD505-2E9C-101B-9397-08002B2CF9AE}" pid="45" name="pairDelim">
    <vt:lpwstr>, </vt:lpwstr>
  </property>
  <property fmtid="{D5CDD505-2E9C-101B-9397-08002B2CF9AE}" pid="46" name="rangeDelim">
    <vt:lpwstr>-</vt:lpwstr>
  </property>
  <property fmtid="{D5CDD505-2E9C-101B-9397-08002B2CF9AE}" pid="47" name="refDelim">
    <vt:lpwstr>, </vt:lpwstr>
  </property>
  <property fmtid="{D5CDD505-2E9C-101B-9397-08002B2CF9AE}" pid="48" name="refIndexTemplate">
    <vt:lpwstr>isuf</vt:lpwstr>
  </property>
  <property fmtid="{D5CDD505-2E9C-101B-9397-08002B2CF9AE}" pid="49" name="secHeaderDelim">
    <vt:lpwstr> </vt:lpwstr>
  </property>
  <property fmtid="{D5CDD505-2E9C-101B-9397-08002B2CF9AE}" pid="50" name="secHeaderTemplate">
    <vt:lpwstr>isecHeaderDelimt</vt:lpwstr>
  </property>
  <property fmtid="{D5CDD505-2E9C-101B-9397-08002B2CF9AE}" pid="51" name="secLabels">
    <vt:lpwstr>arabic</vt:lpwstr>
  </property>
  <property fmtid="{D5CDD505-2E9C-101B-9397-08002B2CF9AE}" pid="52" name="secPrefix">
    <vt:lpwstr/>
  </property>
  <property fmtid="{D5CDD505-2E9C-101B-9397-08002B2CF9AE}" pid="53" name="secPrefixTemplate">
    <vt:lpwstr>p i</vt:lpwstr>
  </property>
  <property fmtid="{D5CDD505-2E9C-101B-9397-08002B2CF9AE}" pid="54" name="sectionsDepth">
    <vt:lpwstr>0</vt:lpwstr>
  </property>
  <property fmtid="{D5CDD505-2E9C-101B-9397-08002B2CF9AE}" pid="55" name="subfigGrid">
    <vt:lpwstr>False</vt:lpwstr>
  </property>
  <property fmtid="{D5CDD505-2E9C-101B-9397-08002B2CF9AE}" pid="56" name="subfigLabels">
    <vt:lpwstr>alpha a</vt:lpwstr>
  </property>
  <property fmtid="{D5CDD505-2E9C-101B-9397-08002B2CF9AE}" pid="57" name="subfigureChildTemplate">
    <vt:lpwstr>i</vt:lpwstr>
  </property>
  <property fmtid="{D5CDD505-2E9C-101B-9397-08002B2CF9AE}" pid="58" name="subfigureRefIndexTemplate">
    <vt:lpwstr>isuf (s)</vt:lpwstr>
  </property>
  <property fmtid="{D5CDD505-2E9C-101B-9397-08002B2CF9AE}" pid="59" name="subfigureTemplate">
    <vt:lpwstr>figureTitle ititleDelim t. ccs</vt:lpwstr>
  </property>
  <property fmtid="{D5CDD505-2E9C-101B-9397-08002B2CF9AE}" pid="60" name="tableEqns">
    <vt:lpwstr>False</vt:lpwstr>
  </property>
  <property fmtid="{D5CDD505-2E9C-101B-9397-08002B2CF9AE}" pid="61" name="tableTemplate">
    <vt:lpwstr>tableTitle ititleDelim t</vt:lpwstr>
  </property>
  <property fmtid="{D5CDD505-2E9C-101B-9397-08002B2CF9AE}" pid="62" name="tableTitle">
    <vt:lpwstr>Table</vt:lpwstr>
  </property>
  <property fmtid="{D5CDD505-2E9C-101B-9397-08002B2CF9AE}" pid="63" name="tblLabels">
    <vt:lpwstr>arabic</vt:lpwstr>
  </property>
  <property fmtid="{D5CDD505-2E9C-101B-9397-08002B2CF9AE}" pid="64" name="tblPrefix">
    <vt:lpwstr/>
  </property>
  <property fmtid="{D5CDD505-2E9C-101B-9397-08002B2CF9AE}" pid="65" name="tblPrefixTemplate">
    <vt:lpwstr>p i</vt:lpwstr>
  </property>
  <property fmtid="{D5CDD505-2E9C-101B-9397-08002B2CF9AE}" pid="66" name="titleDelim">
    <vt:lpwstr>:</vt:lpwstr>
  </property>
  <property fmtid="{D5CDD505-2E9C-101B-9397-08002B2CF9AE}" pid="67" name="urlcolor">
    <vt:lpwstr>Red</vt:lpwstr>
  </property>
</Properties>
</file>