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0823" w14:textId="77777777" w:rsidR="00697045" w:rsidRPr="004D7AFD" w:rsidRDefault="00000000">
      <w:pPr>
        <w:pStyle w:val="Title"/>
        <w:rPr>
          <w:rFonts w:cs="Times New Roman"/>
        </w:rPr>
      </w:pPr>
      <w:r w:rsidRPr="004D7AFD">
        <w:rPr>
          <w:rFonts w:cs="Times New Roman"/>
        </w:rPr>
        <w:t>Early childhood factors and health pathways to disability and death in mid-ages — a multi-state time-to-event model</w:t>
      </w:r>
    </w:p>
    <w:p w14:paraId="0E5EF937" w14:textId="77777777" w:rsidR="00697045" w:rsidRPr="004D7AFD" w:rsidRDefault="00000000">
      <w:pPr>
        <w:pStyle w:val="Author"/>
        <w:rPr>
          <w:rFonts w:cs="Times New Roman"/>
        </w:rPr>
      </w:pPr>
      <w:r w:rsidRPr="004D7AFD">
        <w:rPr>
          <w:rFonts w:cs="Times New Roman"/>
        </w:rPr>
        <w:t>Lakshmi K. Raut</w:t>
      </w:r>
    </w:p>
    <w:p w14:paraId="6C8B65EE" w14:textId="77777777" w:rsidR="00697045" w:rsidRPr="004D7AFD" w:rsidRDefault="00000000">
      <w:pPr>
        <w:pStyle w:val="Date"/>
        <w:rPr>
          <w:rFonts w:cs="Times New Roman"/>
        </w:rPr>
      </w:pPr>
      <w:r w:rsidRPr="004D7AFD">
        <w:rPr>
          <w:rFonts w:cs="Times New Roman"/>
        </w:rPr>
        <w:t>2024-10-23</w:t>
      </w:r>
    </w:p>
    <w:p w14:paraId="3AD24915" w14:textId="77777777" w:rsidR="00697045" w:rsidRPr="004D7AFD" w:rsidRDefault="00000000">
      <w:pPr>
        <w:pStyle w:val="Abstract"/>
        <w:rPr>
          <w:rFonts w:cs="Times New Roman"/>
        </w:rPr>
      </w:pPr>
      <w:r w:rsidRPr="004D7AFD">
        <w:rPr>
          <w:rFonts w:cs="Times New Roman"/>
          <w:i/>
          <w:iCs/>
        </w:rPr>
        <w:t>Developmental programming</w:t>
      </w:r>
      <w:r w:rsidRPr="004D7AFD">
        <w:rPr>
          <w:rFonts w:cs="Times New Roman"/>
        </w:rPr>
        <w:t xml:space="preserve"> literature in microbiology emphasizes that much of the process of health development throughout life is determined at the early stage of life by the early childhood epigenetic factors comprised of internal and external environments, health care use, health related behavior, together with the genetic factors. This paper introduces and empirically estimates a statistical multi-state time-to-event event history model of incidence of chronic diseases, disability and death at mid-ages, incorporating childhood factors and health behaviors. Many of the factors at the cellular level are unobserved or imperfectly instrumented with observed data which causes biased estimates of included regressors. This paper corrects for unobserved heterogeneity biases extending statistical techniques from the generally studied two-state models to the multi-state model of this paper. The paper uses the HRS (Health and Retirement Studies) dataset, takes the definition of disability as the health status qualifying for the Social Security’s DI (Disability Insurance) program or the SSI (Supplemental Security Income) program. The paper studies how various childhood factors and health behaviors are associated with probabilities of following various transition paths through the health states of normal health, illness with one-or-more chronic diseases, disability and death before reaching age 65. The paper also carries out quantitative policy analysis of social policies improving the childhood factors of various social groups on their probabilities of maintaining good health, encountering disability or death in mid-ages.</w:t>
      </w:r>
      <w:r w:rsidRPr="004D7AFD">
        <w:rPr>
          <w:rFonts w:cs="Times New Roman"/>
          <w:b/>
          <w:bCs/>
        </w:rPr>
        <w:t>Short summary:</w:t>
      </w:r>
      <w:r w:rsidRPr="004D7AFD">
        <w:rPr>
          <w:rFonts w:cs="Times New Roman"/>
        </w:rPr>
        <w:t xml:space="preserve"> The paper studies how the early childhood factors and health behaviors are related to incidence of chronic diseases, disability or death in mid-ages in a statistical multi-state time-to-event model. </w:t>
      </w:r>
      <w:r w:rsidRPr="004D7AFD">
        <w:rPr>
          <w:rFonts w:cs="Times New Roman"/>
          <w:b/>
          <w:bCs/>
        </w:rPr>
        <w:t>JEL Classifications:</w:t>
      </w:r>
      <w:r w:rsidRPr="004D7AFD">
        <w:rPr>
          <w:rFonts w:cs="Times New Roman"/>
        </w:rPr>
        <w:t xml:space="preserve"> I12, C41, C51.</w:t>
      </w:r>
      <w:r w:rsidRPr="004D7AFD">
        <w:rPr>
          <w:rFonts w:cs="Times New Roman"/>
          <w:b/>
          <w:bCs/>
        </w:rPr>
        <w:t>Keywords:</w:t>
      </w:r>
      <w:r w:rsidRPr="004D7AFD">
        <w:rPr>
          <w:rFonts w:cs="Times New Roman"/>
        </w:rPr>
        <w:t xml:space="preserve"> Pathways to disability, OASDI, SSI, multistate time-to-event model, mortality, aging.</w:t>
      </w:r>
    </w:p>
    <w:p w14:paraId="304A7A94" w14:textId="77777777" w:rsidR="00697045" w:rsidRPr="004D7AFD" w:rsidRDefault="00000000">
      <w:pPr>
        <w:pStyle w:val="FirstParagraph"/>
        <w:rPr>
          <w:rFonts w:cs="Times New Roman"/>
        </w:rPr>
      </w:pPr>
      <w:r w:rsidRPr="004D7AFD">
        <w:rPr>
          <w:rFonts w:cs="Times New Roman"/>
          <w:b/>
          <w:bCs/>
        </w:rPr>
        <w:t>Acknowledgment and disclaimer</w:t>
      </w:r>
      <w:r w:rsidRPr="004D7AFD">
        <w:rPr>
          <w:rStyle w:val="FootnoteReference"/>
          <w:rFonts w:cs="Times New Roman"/>
        </w:rPr>
        <w:footnoteReference w:id="1"/>
      </w:r>
    </w:p>
    <w:p w14:paraId="344D5256" w14:textId="77777777" w:rsidR="00697045" w:rsidRPr="004D7AFD" w:rsidRDefault="00000000">
      <w:pPr>
        <w:pStyle w:val="Heading1"/>
        <w:rPr>
          <w:rFonts w:cs="Times New Roman"/>
        </w:rPr>
      </w:pPr>
      <w:bookmarkStart w:id="0" w:name="sec-sec1"/>
      <w:r w:rsidRPr="004D7AFD">
        <w:rPr>
          <w:rFonts w:cs="Times New Roman"/>
        </w:rPr>
        <w:t>Introduction</w:t>
      </w:r>
    </w:p>
    <w:p w14:paraId="155C8D87" w14:textId="77777777" w:rsidR="00697045" w:rsidRPr="004D7AFD" w:rsidRDefault="00000000">
      <w:pPr>
        <w:pStyle w:val="FirstParagraph"/>
        <w:rPr>
          <w:rFonts w:cs="Times New Roman"/>
        </w:rPr>
      </w:pPr>
      <w:r w:rsidRPr="004D7AFD">
        <w:rPr>
          <w:rFonts w:cs="Times New Roman"/>
        </w:rPr>
        <w:t xml:space="preserve">Identification of factors that determine disability and mortality incidence rates is important for disability programs such as Social Security Disability Insurance (DI) and the Supplemental </w:t>
      </w:r>
      <w:r w:rsidRPr="004D7AFD">
        <w:rPr>
          <w:rFonts w:cs="Times New Roman"/>
        </w:rPr>
        <w:lastRenderedPageBreak/>
        <w:t>Security Income (SSI) programs. According to the biology of living organisms, all individuals succumb to aging, and experience diseases and disabilities of various kinds as they age. Diseases and disabilities can also be caused by injuries, genetic abnormalities and epigenetic reprogramming (epigenetic includes environmental factors and health-related individual behaviors). Some individuals stay in good health for a long period of time and then become disabled or die; some develop one or more chronic diseases such as diabetes, cancer, vascular, musculoskeletal, cognitive and mental disorders that expedite incidence of disability and death. I use the Health and Retirement Study (HRS) data to estimate a dynamic multi-state time-to-event econometric model of pathways to disability or to death through various health states—specifically, normal health and one-or-more chronic diseases—before reaching age 65 for individuals in their early 50’s. Genetic and environmental factors, health care use, health related behaviors and cognitive factors determine the progression of unobserved stock of internal health (also known as health-capital in economics, and frailty in gerontology). The state of internal health determines the risks of transitions to other health states and their transit times. I estimate the effects of these factors on the probabilities of transitions and the transit times along the pathways that individuals in their 50’s follow before reaching age 65.</w:t>
      </w:r>
    </w:p>
    <w:p w14:paraId="1AAE372E" w14:textId="77777777" w:rsidR="00697045" w:rsidRPr="004D7AFD" w:rsidRDefault="00000000">
      <w:pPr>
        <w:pStyle w:val="BodyText"/>
        <w:rPr>
          <w:rFonts w:cs="Times New Roman"/>
        </w:rPr>
      </w:pPr>
      <w:r w:rsidRPr="004D7AFD">
        <w:rPr>
          <w:rFonts w:cs="Times New Roman"/>
        </w:rPr>
        <w:t>Before exploring pathways to disability, it is important to clarify the definition of disability that I study in this paper The definition of disability depends on the purpose of its use. Disability is a multidimensional concept and is defined in the literature using simple descriptions, conceptual models, classification schemes, and measurement methods (for details, see Hahn (</w:t>
      </w:r>
      <w:hyperlink w:anchor="ref-Hahn_1985">
        <w:r w:rsidRPr="004D7AFD">
          <w:rPr>
            <w:rStyle w:val="Hyperlink"/>
            <w:rFonts w:cs="Times New Roman"/>
          </w:rPr>
          <w:t>1985</w:t>
        </w:r>
      </w:hyperlink>
      <w:r w:rsidRPr="004D7AFD">
        <w:rPr>
          <w:rFonts w:cs="Times New Roman"/>
        </w:rPr>
        <w:t>); Marks (</w:t>
      </w:r>
      <w:hyperlink w:anchor="ref-Marks_1997">
        <w:r w:rsidRPr="004D7AFD">
          <w:rPr>
            <w:rStyle w:val="Hyperlink"/>
            <w:rFonts w:cs="Times New Roman"/>
          </w:rPr>
          <w:t>1997</w:t>
        </w:r>
      </w:hyperlink>
      <w:r w:rsidRPr="004D7AFD">
        <w:rPr>
          <w:rFonts w:cs="Times New Roman"/>
        </w:rPr>
        <w:t>); Altman (</w:t>
      </w:r>
      <w:hyperlink w:anchor="ref-Altman_2001">
        <w:r w:rsidRPr="004D7AFD">
          <w:rPr>
            <w:rStyle w:val="Hyperlink"/>
            <w:rFonts w:cs="Times New Roman"/>
          </w:rPr>
          <w:t>2001</w:t>
        </w:r>
      </w:hyperlink>
      <w:r w:rsidRPr="004D7AFD">
        <w:rPr>
          <w:rFonts w:cs="Times New Roman"/>
        </w:rPr>
        <w:t>); Albrecht and Verbrugge (</w:t>
      </w:r>
      <w:hyperlink w:anchor="ref-Albrecht.Verbrugge_2003">
        <w:r w:rsidRPr="004D7AFD">
          <w:rPr>
            <w:rStyle w:val="Hyperlink"/>
            <w:rFonts w:cs="Times New Roman"/>
          </w:rPr>
          <w:t>2003</w:t>
        </w:r>
      </w:hyperlink>
      <w:r w:rsidRPr="004D7AFD">
        <w:rPr>
          <w:rFonts w:cs="Times New Roman"/>
        </w:rPr>
        <w:t>); Marks (</w:t>
      </w:r>
      <w:hyperlink w:anchor="ref-Marks_1997">
        <w:r w:rsidRPr="004D7AFD">
          <w:rPr>
            <w:rStyle w:val="Hyperlink"/>
            <w:rFonts w:cs="Times New Roman"/>
          </w:rPr>
          <w:t>1997</w:t>
        </w:r>
      </w:hyperlink>
      <w:r w:rsidRPr="004D7AFD">
        <w:rPr>
          <w:rFonts w:cs="Times New Roman"/>
        </w:rPr>
        <w:t>); Altman (</w:t>
      </w:r>
      <w:hyperlink w:anchor="ref-Altman_2001">
        <w:r w:rsidRPr="004D7AFD">
          <w:rPr>
            <w:rStyle w:val="Hyperlink"/>
            <w:rFonts w:cs="Times New Roman"/>
          </w:rPr>
          <w:t>2001</w:t>
        </w:r>
      </w:hyperlink>
      <w:r w:rsidRPr="004D7AFD">
        <w:rPr>
          <w:rFonts w:cs="Times New Roman"/>
        </w:rPr>
        <w:t>);Snyder et al. (</w:t>
      </w:r>
      <w:hyperlink w:anchor="ref-Snyder.etal_2008">
        <w:r w:rsidRPr="004D7AFD">
          <w:rPr>
            <w:rStyle w:val="Hyperlink"/>
            <w:rFonts w:cs="Times New Roman"/>
          </w:rPr>
          <w:t>2008</w:t>
        </w:r>
      </w:hyperlink>
      <w:r w:rsidRPr="004D7AFD">
        <w:rPr>
          <w:rFonts w:cs="Times New Roman"/>
        </w:rPr>
        <w:t>)). I use the following statutory definition of disability that the Social Security Administration uses for the DI and SSI programs (specified in the Social Security Act, Title II, § 223(d), paragraph (1)A):</w:t>
      </w:r>
    </w:p>
    <w:p w14:paraId="2887AFF6" w14:textId="77777777" w:rsidR="00697045" w:rsidRPr="004D7AFD" w:rsidRDefault="00000000">
      <w:pPr>
        <w:pStyle w:val="BlockText"/>
        <w:rPr>
          <w:rFonts w:cs="Times New Roman"/>
        </w:rPr>
      </w:pPr>
      <w:r w:rsidRPr="004D7AFD">
        <w:rPr>
          <w:rFonts w:cs="Times New Roman"/>
        </w:rPr>
        <w:t>“inability to engage in any substantial gainful activity by reason of any medically determinable physical or mental impairment which can be expected to result in death or which has lasted or can be expected to last for a continuous period of not less than 12 months”</w:t>
      </w:r>
    </w:p>
    <w:p w14:paraId="78763872" w14:textId="77777777" w:rsidR="00697045" w:rsidRPr="004D7AFD" w:rsidRDefault="00000000">
      <w:pPr>
        <w:pStyle w:val="FirstParagraph"/>
        <w:rPr>
          <w:rFonts w:cs="Times New Roman"/>
        </w:rPr>
      </w:pPr>
      <w:r w:rsidRPr="004D7AFD">
        <w:rPr>
          <w:rFonts w:cs="Times New Roman"/>
        </w:rPr>
        <w:t>and with a vocational grid addendum stated in paragraph (2)A,</w:t>
      </w:r>
    </w:p>
    <w:p w14:paraId="6A606393" w14:textId="77777777" w:rsidR="00697045" w:rsidRPr="004D7AFD" w:rsidRDefault="00000000">
      <w:pPr>
        <w:pStyle w:val="BlockText"/>
        <w:rPr>
          <w:rFonts w:cs="Times New Roman"/>
        </w:rPr>
      </w:pPr>
      <w:r w:rsidRPr="004D7AFD">
        <w:rPr>
          <w:rFonts w:cs="Times New Roman"/>
        </w:rPr>
        <w:t xml:space="preserve">“An individual shall be determined to be under a disability only if his physical or mental impairment or impairments are of such severity that he is not only unable to do his previous work </w:t>
      </w:r>
      <w:r w:rsidRPr="004D7AFD">
        <w:rPr>
          <w:rFonts w:cs="Times New Roman"/>
        </w:rPr>
        <w:lastRenderedPageBreak/>
        <w:t>but cannot, considering his age, education, and work experience, engage in any other kind of substantial gainful work which exists in the national economy, regardless of whether such work exists in the immediate area in which he lives, or whether a specific job vacancy exists for him, or whether he would be hired if he applied for work. For purposes of the preceding sentence (with respect to any individual),”work which exists in the national economy” means work which exists in significant numbers either in the region where such individual lives or in several regions of the country.”</w:t>
      </w:r>
    </w:p>
    <w:p w14:paraId="0ED8E97A" w14:textId="77777777" w:rsidR="00697045" w:rsidRPr="004D7AFD" w:rsidRDefault="00000000">
      <w:pPr>
        <w:pStyle w:val="FirstParagraph"/>
        <w:rPr>
          <w:rFonts w:cs="Times New Roman"/>
        </w:rPr>
      </w:pPr>
      <w:r w:rsidRPr="004D7AFD">
        <w:rPr>
          <w:rFonts w:cs="Times New Roman"/>
        </w:rPr>
        <w:t>The definition of disability for the SSI program is almost identical.</w:t>
      </w:r>
      <w:r w:rsidRPr="004D7AFD">
        <w:rPr>
          <w:rStyle w:val="FootnoteReference"/>
          <w:rFonts w:cs="Times New Roman"/>
        </w:rPr>
        <w:footnoteReference w:id="2"/>
      </w:r>
    </w:p>
    <w:p w14:paraId="3281B674" w14:textId="77777777" w:rsidR="00697045" w:rsidRPr="004D7AFD" w:rsidRDefault="00000000">
      <w:pPr>
        <w:pStyle w:val="BodyText"/>
        <w:rPr>
          <w:rFonts w:cs="Times New Roman"/>
        </w:rPr>
      </w:pPr>
      <w:r w:rsidRPr="004D7AFD">
        <w:rPr>
          <w:rFonts w:cs="Times New Roman"/>
        </w:rPr>
        <w:t>While a lot has been said about the definition of disability, very few papers provide a biological or a behavioral mechanism of disablement process from which policy implications for clinical practices and health care policis can be derived. The first disablement model was introduced by the sociologist Nagi (</w:t>
      </w:r>
      <w:hyperlink w:anchor="ref-Nagi_1965">
        <w:r w:rsidRPr="004D7AFD">
          <w:rPr>
            <w:rStyle w:val="Hyperlink"/>
            <w:rFonts w:cs="Times New Roman"/>
          </w:rPr>
          <w:t>1965</w:t>
        </w:r>
      </w:hyperlink>
      <w:r w:rsidRPr="004D7AFD">
        <w:rPr>
          <w:rFonts w:cs="Times New Roman"/>
        </w:rPr>
        <w:t>), which he further refined in (</w:t>
      </w:r>
      <w:hyperlink w:anchor="ref-Nagi_1976">
        <w:r w:rsidRPr="004D7AFD">
          <w:rPr>
            <w:rStyle w:val="Hyperlink"/>
            <w:rFonts w:cs="Times New Roman"/>
          </w:rPr>
          <w:t>Nagi 1976</w:t>
        </w:r>
      </w:hyperlink>
      <w:r w:rsidRPr="004D7AFD">
        <w:rPr>
          <w:rFonts w:cs="Times New Roman"/>
        </w:rPr>
        <w:t xml:space="preserve">, </w:t>
      </w:r>
      <w:hyperlink w:anchor="ref-Nagi_1991">
        <w:r w:rsidRPr="004D7AFD">
          <w:rPr>
            <w:rStyle w:val="Hyperlink"/>
            <w:rFonts w:cs="Times New Roman"/>
          </w:rPr>
          <w:t>1991</w:t>
        </w:r>
      </w:hyperlink>
      <w:r w:rsidRPr="004D7AFD">
        <w:rPr>
          <w:rFonts w:cs="Times New Roman"/>
        </w:rPr>
        <w:t>). This model was extended by (</w:t>
      </w:r>
      <w:hyperlink w:anchor="ref-Verbrugge.Jette_1994">
        <w:r w:rsidRPr="004D7AFD">
          <w:rPr>
            <w:rStyle w:val="Hyperlink"/>
            <w:rFonts w:cs="Times New Roman"/>
          </w:rPr>
          <w:t>Verbrugge and Jette 1994</w:t>
        </w:r>
      </w:hyperlink>
      <w:r w:rsidRPr="004D7AFD">
        <w:rPr>
          <w:rFonts w:cs="Times New Roman"/>
        </w:rPr>
        <w:t xml:space="preserve">; </w:t>
      </w:r>
      <w:hyperlink w:anchor="ref-Verbrugge.etal_2017">
        <w:r w:rsidRPr="004D7AFD">
          <w:rPr>
            <w:rStyle w:val="Hyperlink"/>
            <w:rFonts w:cs="Times New Roman"/>
          </w:rPr>
          <w:t>Verbrugge, Latham, and Clarke 2017</w:t>
        </w:r>
      </w:hyperlink>
      <w:r w:rsidRPr="004D7AFD">
        <w:rPr>
          <w:rFonts w:cs="Times New Roman"/>
        </w:rPr>
        <w:t>) who added biological, environmental and behavioral risk factors affecting all four stages of the disablement process.</w:t>
      </w:r>
      <w:r w:rsidRPr="004D7AFD">
        <w:rPr>
          <w:rStyle w:val="FootnoteReference"/>
          <w:rFonts w:cs="Times New Roman"/>
        </w:rPr>
        <w:footnoteReference w:id="3"/>
      </w:r>
      <w:r w:rsidRPr="004D7AFD">
        <w:rPr>
          <w:rFonts w:cs="Times New Roman"/>
        </w:rPr>
        <w:t xml:space="preserve"> Disablement models are conceptual schemes that describe four distinct but related stages to arrive at a disability: starting from a pathology, leading to developments of impairments of body systems, then to functional limitations and finally to disability. I briefly describe these stages below.</w:t>
      </w:r>
    </w:p>
    <w:p w14:paraId="35413E68" w14:textId="77777777" w:rsidR="00697045" w:rsidRPr="004D7AFD" w:rsidRDefault="00000000">
      <w:pPr>
        <w:pStyle w:val="BodyText"/>
        <w:rPr>
          <w:rFonts w:cs="Times New Roman"/>
        </w:rPr>
      </w:pPr>
      <w:r w:rsidRPr="004D7AFD">
        <w:rPr>
          <w:rFonts w:cs="Times New Roman"/>
        </w:rPr>
        <w:t xml:space="preserve">Pathology is an interruption of the normal physiological process caused by developmental disorders (such as cerebral palsy, seizure disorders, mental retardation, hearing and vision impairments, autism, PKU, Huntington disease), infection, injury, trauma, metabolic imbalances (such as diabetes), degenerative disease processes (i.e., deterioration over time of the functioning or the structure of tissues or organs leading to osteoarthritis, osteoporosis, cancer, Alzheimer or Parkinson’s disease) or any other disease process. The impairments of body system involve loss or abnormality of an anatomical, physiological, mental, or emotional nature. Functional limitations </w:t>
      </w:r>
      <w:r w:rsidRPr="004D7AFD">
        <w:rPr>
          <w:rFonts w:cs="Times New Roman"/>
        </w:rPr>
        <w:lastRenderedPageBreak/>
        <w:t>include not being able to have one’s ADL (activities of daily living) and IADL (instrumental activities of daily living), role activities (such as occupation, parenting, grand-parenting, and student roles), social activities (such as attending church and other group activities, and socializing with friends and relatives) and leisure activities (such as sports and physical recreations, reading, and distinct trips). The final stage is the disability, the definition of which depends on the purpose of the study and involves a combination of all the above models of disability.</w:t>
      </w:r>
    </w:p>
    <w:p w14:paraId="2303F373" w14:textId="77777777" w:rsidR="00697045" w:rsidRPr="004D7AFD" w:rsidRDefault="00000000">
      <w:pPr>
        <w:pStyle w:val="BodyText"/>
        <w:rPr>
          <w:rFonts w:cs="Times New Roman"/>
        </w:rPr>
      </w:pPr>
      <w:r w:rsidRPr="004D7AFD">
        <w:rPr>
          <w:rFonts w:cs="Times New Roman"/>
        </w:rPr>
        <w:t>The disablement models are useful for conceptualization, diagnosis and record keeping of disabilities but limited for the study of the causes of disability in epidemiological and policy research. The starting point of the above disablement models is an onset of a chronic disease or an injury causing a disability. For policy research on disability and mortality, it is important to study the biomedical processes modulated by genetic, epigenetic and behavioral factors in the manifestation and prognosis of disabling diseases and on the risk of disabling injuries. While an injury as the starting point of disablement process serves well for certain purposes such as for workers’ compensation in sports, construction and factories, a large proportion of disabilities in the middle ages are caused by diseases–both physical and mental (see for instance, Case and Deaton (</w:t>
      </w:r>
      <w:hyperlink w:anchor="ref-Case.Deaton_2015">
        <w:r w:rsidRPr="004D7AFD">
          <w:rPr>
            <w:rStyle w:val="Hyperlink"/>
            <w:rFonts w:cs="Times New Roman"/>
          </w:rPr>
          <w:t>2015</w:t>
        </w:r>
      </w:hyperlink>
      <w:r w:rsidRPr="004D7AFD">
        <w:rPr>
          <w:rFonts w:cs="Times New Roman"/>
        </w:rPr>
        <w:t>); The US Burden of Disease Collaborators (</w:t>
      </w:r>
      <w:hyperlink w:anchor="ref-DiseaseCollaborators_2018">
        <w:r w:rsidRPr="004D7AFD">
          <w:rPr>
            <w:rStyle w:val="Hyperlink"/>
            <w:rFonts w:cs="Times New Roman"/>
          </w:rPr>
          <w:t>2018</w:t>
        </w:r>
      </w:hyperlink>
      <w:r w:rsidRPr="004D7AFD">
        <w:rPr>
          <w:rFonts w:cs="Times New Roman"/>
        </w:rPr>
        <w:t>)). Mechanism for non-accidental death is similar. Diseases, leading to disabilities — both developmental disabilities and late age disabilities — and to mortality are the result of modulated biomedical processes, which at the microbiology level are the outcomes of cellular aging. While aging, an individual succumbs to diseases and injuries leading to disability or death. Not all individuals experience the same deterministic aging process—some experience faster aging and aging related diseases than others. Why do some people experience faster aging, diseases, and mortality? At what stage of life, does it all begin—at mid-ages, at birth, or even earlier at conception? How do various genetic, epigenetic and behavioral factors modulate the aging process, culminating in diseases, disabilities and death? What biomarkers and epigenetic factors (including environmental factors and individual health related behaviors) predict better the process of aging and incidence of disease, disability, and death over the lifespan?</w:t>
      </w:r>
    </w:p>
    <w:p w14:paraId="699F4A2F" w14:textId="77777777" w:rsidR="00697045" w:rsidRPr="004D7AFD" w:rsidRDefault="00000000">
      <w:pPr>
        <w:pStyle w:val="BodyText"/>
        <w:rPr>
          <w:rFonts w:cs="Times New Roman"/>
        </w:rPr>
      </w:pPr>
      <w:r w:rsidRPr="004D7AFD">
        <w:rPr>
          <w:rFonts w:cs="Times New Roman"/>
        </w:rPr>
        <w:t xml:space="preserve">I will not get into the details of the biomedical literature on these issues. Similar to the literature of behavioral genetics of personality and intelligence, the </w:t>
      </w:r>
      <w:r w:rsidRPr="004D7AFD">
        <w:rPr>
          <w:rFonts w:cs="Times New Roman"/>
          <w:i/>
          <w:iCs/>
        </w:rPr>
        <w:t>nature-nurture</w:t>
      </w:r>
      <w:r w:rsidRPr="004D7AFD">
        <w:rPr>
          <w:rFonts w:cs="Times New Roman"/>
        </w:rPr>
        <w:t xml:space="preserve"> controversy exists in the health literature: Is it all nature (i.e., all genetics or genome) or is it all nurture (i.e., all epigenetics </w:t>
      </w:r>
      <w:r w:rsidRPr="004D7AFD">
        <w:rPr>
          <w:rFonts w:cs="Times New Roman"/>
        </w:rPr>
        <w:lastRenderedPageBreak/>
        <w:t>or epigenome modulated by the environment and health related individual behaviors) that determines the progression of health over the lifespan of an individual? The consensus so far is that it is neither the nature nor the nurture; it is a combination of the two that determines health developments over one’s lifespan. The research so far found that certain genetic make-ups (i.e., certain sequences of DNA) predispose one to certain diseases, (see for instance, Barondes (</w:t>
      </w:r>
      <w:hyperlink w:anchor="ref-Barondes_1999_Book">
        <w:r w:rsidRPr="004D7AFD">
          <w:rPr>
            <w:rStyle w:val="Hyperlink"/>
            <w:rFonts w:cs="Times New Roman"/>
          </w:rPr>
          <w:t>1999</w:t>
        </w:r>
      </w:hyperlink>
      <w:r w:rsidRPr="004D7AFD">
        <w:rPr>
          <w:rFonts w:cs="Times New Roman"/>
        </w:rPr>
        <w:t>); Khoury et al. (</w:t>
      </w:r>
      <w:hyperlink w:anchor="ref-Khoury.etal_2009">
        <w:r w:rsidRPr="004D7AFD">
          <w:rPr>
            <w:rStyle w:val="Hyperlink"/>
            <w:rFonts w:cs="Times New Roman"/>
          </w:rPr>
          <w:t>2009</w:t>
        </w:r>
      </w:hyperlink>
      <w:r w:rsidRPr="004D7AFD">
        <w:rPr>
          <w:rFonts w:cs="Times New Roman"/>
        </w:rPr>
        <w:t>); Bookman et al. (</w:t>
      </w:r>
      <w:hyperlink w:anchor="ref-Bookman.etal_2011">
        <w:r w:rsidRPr="004D7AFD">
          <w:rPr>
            <w:rStyle w:val="Hyperlink"/>
            <w:rFonts w:cs="Times New Roman"/>
          </w:rPr>
          <w:t>2011</w:t>
        </w:r>
      </w:hyperlink>
      <w:r w:rsidRPr="004D7AFD">
        <w:rPr>
          <w:rFonts w:cs="Times New Roman"/>
        </w:rPr>
        <w:t>)), but the epigenetic inputs—especially at the very early stage of life, i.e. in the womb, but not the least at later stages of life—are also very important determinants of life expectancy and quality of life. The biomedical research so far has not found genes that are responsible for aging and age-related diseases, leading to early disability and mortality. The twenty-first century biomedical research emphasizes more on the epigenetic factors than the genetic factors to explain the pattern of health developments over the lifespan.</w:t>
      </w:r>
    </w:p>
    <w:p w14:paraId="1EEDCAE3" w14:textId="77777777" w:rsidR="00697045" w:rsidRPr="004D7AFD" w:rsidRDefault="00000000">
      <w:pPr>
        <w:pStyle w:val="BodyText"/>
        <w:rPr>
          <w:rFonts w:cs="Times New Roman"/>
        </w:rPr>
      </w:pPr>
      <w:r w:rsidRPr="004D7AFD">
        <w:rPr>
          <w:rFonts w:cs="Times New Roman"/>
        </w:rPr>
        <w:t>At the cellular level, aging means cellular senescence—i.e., after a certain number of cell divisions, it stops dividing or have defective replications, causing tissues or organs to increasingly deteriorate over time. Senescence leads to incidence of degenerative diseases. It is generally observed that women live longer than men and those with better life styles in terms of smoking, exercising and diets delay the aging process (for evidence, see Blair et al. (</w:t>
      </w:r>
      <w:hyperlink w:anchor="ref-Blair.etal_1989">
        <w:r w:rsidRPr="004D7AFD">
          <w:rPr>
            <w:rStyle w:val="Hyperlink"/>
            <w:rFonts w:cs="Times New Roman"/>
          </w:rPr>
          <w:t>1989</w:t>
        </w:r>
      </w:hyperlink>
      <w:r w:rsidRPr="004D7AFD">
        <w:rPr>
          <w:rFonts w:cs="Times New Roman"/>
        </w:rPr>
        <w:t>); Vaupel (</w:t>
      </w:r>
      <w:hyperlink w:anchor="ref-Vaupel_2010">
        <w:r w:rsidRPr="004D7AFD">
          <w:rPr>
            <w:rStyle w:val="Hyperlink"/>
            <w:rFonts w:cs="Times New Roman"/>
          </w:rPr>
          <w:t>2010</w:t>
        </w:r>
      </w:hyperlink>
      <w:r w:rsidRPr="004D7AFD">
        <w:rPr>
          <w:rFonts w:cs="Times New Roman"/>
        </w:rPr>
        <w:t>); Austad and Fischer (</w:t>
      </w:r>
      <w:hyperlink w:anchor="ref-Austad.Fischer_2016">
        <w:r w:rsidRPr="004D7AFD">
          <w:rPr>
            <w:rStyle w:val="Hyperlink"/>
            <w:rFonts w:cs="Times New Roman"/>
          </w:rPr>
          <w:t>2016</w:t>
        </w:r>
      </w:hyperlink>
      <w:r w:rsidRPr="004D7AFD">
        <w:rPr>
          <w:rFonts w:cs="Times New Roman"/>
        </w:rPr>
        <w:t>); Zarulli et al. (</w:t>
      </w:r>
      <w:hyperlink w:anchor="ref-Zarulli.etal_2018">
        <w:r w:rsidRPr="004D7AFD">
          <w:rPr>
            <w:rStyle w:val="Hyperlink"/>
            <w:rFonts w:cs="Times New Roman"/>
          </w:rPr>
          <w:t>2018</w:t>
        </w:r>
      </w:hyperlink>
      <w:r w:rsidRPr="004D7AFD">
        <w:rPr>
          <w:rFonts w:cs="Times New Roman"/>
        </w:rPr>
        <w:t>)). This line of biological inquiry led to explore the (cellular) molecular mechanism of aging process and to find biomarkers of aging that can be used to diagnose, monitor, and improve the age related physiological decline and disease. A good indicator of the aging process at the cellular level is the rate of decay in the telomere length. Telomeres are the caps at the end of chromosomes in a DNA sequence. They look like the plastic caps at the end of shoelaces. The main function of telomeres is to protect cells preserving the genetic content within each chromosome during cell divisions. Unfortunately, the telomere length shortens in the course of each cycle of chromosomal replication during cell division, reaching the Hayflick limit (about 40 to 60 cell divisions, Hayflick (</w:t>
      </w:r>
      <w:hyperlink w:anchor="ref-Hayflick_1965">
        <w:r w:rsidRPr="004D7AFD">
          <w:rPr>
            <w:rStyle w:val="Hyperlink"/>
            <w:rFonts w:cs="Times New Roman"/>
          </w:rPr>
          <w:t>1965</w:t>
        </w:r>
      </w:hyperlink>
      <w:r w:rsidRPr="004D7AFD">
        <w:rPr>
          <w:rFonts w:cs="Times New Roman"/>
        </w:rPr>
        <w:t xml:space="preserve">)) with a critically short telomere length, after which the cells stop dividing or divide with chromosomal abnormalities. The rate of shortening of the telomere length is modulated by telomerase enzyme. Why the rate of decay in telomere length varies for individuals? It is an active area of biomedical research and the mechanism for it is not yet fully understood. Many studies find that higher stress of any kind— psychological, financial, social, and chemical—is strongly associated with higher oxidative stress, lower level of telomerase enzyme, and shorter telomere length. Furthermore, shorter telomere </w:t>
      </w:r>
      <w:r w:rsidRPr="004D7AFD">
        <w:rPr>
          <w:rFonts w:cs="Times New Roman"/>
        </w:rPr>
        <w:lastRenderedPageBreak/>
        <w:t>length is associated with health related phenotypes of poorer health and higher risks for cardiovascular and immune diseases (see, Epel et al. (</w:t>
      </w:r>
      <w:hyperlink w:anchor="ref-Epel.etal_2004">
        <w:r w:rsidRPr="004D7AFD">
          <w:rPr>
            <w:rStyle w:val="Hyperlink"/>
            <w:rFonts w:cs="Times New Roman"/>
          </w:rPr>
          <w:t>2004</w:t>
        </w:r>
      </w:hyperlink>
      <w:r w:rsidRPr="004D7AFD">
        <w:rPr>
          <w:rFonts w:cs="Times New Roman"/>
        </w:rPr>
        <w:t>); Shalev et al. (</w:t>
      </w:r>
      <w:hyperlink w:anchor="ref-Shalev.etal_2013">
        <w:r w:rsidRPr="004D7AFD">
          <w:rPr>
            <w:rStyle w:val="Hyperlink"/>
            <w:rFonts w:cs="Times New Roman"/>
          </w:rPr>
          <w:t>2013</w:t>
        </w:r>
      </w:hyperlink>
      <w:r w:rsidRPr="004D7AFD">
        <w:rPr>
          <w:rFonts w:cs="Times New Roman"/>
        </w:rPr>
        <w:t>); DiLoreto and Murphy (</w:t>
      </w:r>
      <w:hyperlink w:anchor="ref-DiLoreto.Murphy_2015">
        <w:r w:rsidRPr="004D7AFD">
          <w:rPr>
            <w:rStyle w:val="Hyperlink"/>
            <w:rFonts w:cs="Times New Roman"/>
          </w:rPr>
          <w:t>2015</w:t>
        </w:r>
      </w:hyperlink>
      <w:r w:rsidRPr="004D7AFD">
        <w:rPr>
          <w:rFonts w:cs="Times New Roman"/>
        </w:rPr>
        <w:t>); Shalev and Belsky (</w:t>
      </w:r>
      <w:hyperlink w:anchor="ref-Shalev.Belsky_2016">
        <w:r w:rsidRPr="004D7AFD">
          <w:rPr>
            <w:rStyle w:val="Hyperlink"/>
            <w:rFonts w:cs="Times New Roman"/>
          </w:rPr>
          <w:t>2016</w:t>
        </w:r>
      </w:hyperlink>
      <w:r w:rsidRPr="004D7AFD">
        <w:rPr>
          <w:rFonts w:cs="Times New Roman"/>
        </w:rPr>
        <w:t>); Simons et al. (</w:t>
      </w:r>
      <w:hyperlink w:anchor="ref-Simons.etal_2016">
        <w:r w:rsidRPr="004D7AFD">
          <w:rPr>
            <w:rStyle w:val="Hyperlink"/>
            <w:rFonts w:cs="Times New Roman"/>
          </w:rPr>
          <w:t>2016</w:t>
        </w:r>
      </w:hyperlink>
      <w:r w:rsidRPr="004D7AFD">
        <w:rPr>
          <w:rFonts w:cs="Times New Roman"/>
        </w:rPr>
        <w:t>)).</w:t>
      </w:r>
    </w:p>
    <w:p w14:paraId="238D29D4" w14:textId="77777777" w:rsidR="00697045" w:rsidRPr="004D7AFD" w:rsidRDefault="00000000">
      <w:pPr>
        <w:pStyle w:val="BodyText"/>
        <w:rPr>
          <w:rFonts w:cs="Times New Roman"/>
        </w:rPr>
      </w:pPr>
      <w:r w:rsidRPr="004D7AFD">
        <w:rPr>
          <w:rFonts w:cs="Times New Roman"/>
        </w:rPr>
        <w:t>More recently emerged second line of biomedical research on aging and aging related diseases explores the epigenetic (which literally means on top of genetic) mechanism for these life-cycle processes. (See for instance, Alisch et al. (</w:t>
      </w:r>
      <w:hyperlink w:anchor="ref-Alisch.etal_2012">
        <w:r w:rsidRPr="004D7AFD">
          <w:rPr>
            <w:rStyle w:val="Hyperlink"/>
            <w:rFonts w:cs="Times New Roman"/>
          </w:rPr>
          <w:t>2012</w:t>
        </w:r>
      </w:hyperlink>
      <w:r w:rsidRPr="004D7AFD">
        <w:rPr>
          <w:rFonts w:cs="Times New Roman"/>
        </w:rPr>
        <w:t>); Barres and Zierath (</w:t>
      </w:r>
      <w:hyperlink w:anchor="ref-Barres.Zierath_2011">
        <w:r w:rsidRPr="004D7AFD">
          <w:rPr>
            <w:rStyle w:val="Hyperlink"/>
            <w:rFonts w:cs="Times New Roman"/>
          </w:rPr>
          <w:t>2011</w:t>
        </w:r>
      </w:hyperlink>
      <w:r w:rsidRPr="004D7AFD">
        <w:rPr>
          <w:rFonts w:cs="Times New Roman"/>
        </w:rPr>
        <w:t>); Boks et al. (</w:t>
      </w:r>
      <w:hyperlink w:anchor="ref-Boks.etal_2009">
        <w:r w:rsidRPr="004D7AFD">
          <w:rPr>
            <w:rStyle w:val="Hyperlink"/>
            <w:rFonts w:cs="Times New Roman"/>
          </w:rPr>
          <w:t>2009</w:t>
        </w:r>
      </w:hyperlink>
      <w:r w:rsidRPr="004D7AFD">
        <w:rPr>
          <w:rFonts w:cs="Times New Roman"/>
        </w:rPr>
        <w:t>); Esteller (</w:t>
      </w:r>
      <w:hyperlink w:anchor="ref-Esteller_2008">
        <w:r w:rsidRPr="004D7AFD">
          <w:rPr>
            <w:rStyle w:val="Hyperlink"/>
            <w:rFonts w:cs="Times New Roman"/>
          </w:rPr>
          <w:t>2008</w:t>
        </w:r>
      </w:hyperlink>
      <w:r w:rsidRPr="004D7AFD">
        <w:rPr>
          <w:rFonts w:cs="Times New Roman"/>
        </w:rPr>
        <w:t>); Hannum et al. (</w:t>
      </w:r>
      <w:hyperlink w:anchor="ref-Hannum.etal_2013">
        <w:r w:rsidRPr="004D7AFD">
          <w:rPr>
            <w:rStyle w:val="Hyperlink"/>
            <w:rFonts w:cs="Times New Roman"/>
          </w:rPr>
          <w:t>2013</w:t>
        </w:r>
      </w:hyperlink>
      <w:r w:rsidRPr="004D7AFD">
        <w:rPr>
          <w:rFonts w:cs="Times New Roman"/>
        </w:rPr>
        <w:t>); Horvath (</w:t>
      </w:r>
      <w:hyperlink w:anchor="ref-Horvath_2013">
        <w:r w:rsidRPr="004D7AFD">
          <w:rPr>
            <w:rStyle w:val="Hyperlink"/>
            <w:rFonts w:cs="Times New Roman"/>
          </w:rPr>
          <w:t>2013</w:t>
        </w:r>
      </w:hyperlink>
      <w:r w:rsidRPr="004D7AFD">
        <w:rPr>
          <w:rFonts w:cs="Times New Roman"/>
        </w:rPr>
        <w:t>)).</w:t>
      </w:r>
    </w:p>
    <w:p w14:paraId="798A68CD" w14:textId="77777777" w:rsidR="00697045" w:rsidRPr="004D7AFD" w:rsidRDefault="00000000">
      <w:pPr>
        <w:pStyle w:val="BodyText"/>
        <w:rPr>
          <w:rFonts w:cs="Times New Roman"/>
        </w:rPr>
      </w:pPr>
      <w:r w:rsidRPr="004D7AFD">
        <w:rPr>
          <w:rFonts w:cs="Times New Roman"/>
        </w:rPr>
        <w:t>The above literature emphasizes that aging and age-related diseases are associated with shortening of telomere length and changes in global methylation, and that stress, smoking, drinking, chemical misuse, and diet are important modulators for these changes. The question remains, what are the critical periods or the developmental milestones in life cycle that program the motions of health developments over the lifespan of an individual?</w:t>
      </w:r>
    </w:p>
    <w:p w14:paraId="4DE388EB" w14:textId="77777777" w:rsidR="00697045" w:rsidRPr="004D7AFD" w:rsidRDefault="00000000">
      <w:pPr>
        <w:pStyle w:val="BodyText"/>
        <w:rPr>
          <w:rFonts w:cs="Times New Roman"/>
        </w:rPr>
      </w:pPr>
      <w:r w:rsidRPr="004D7AFD">
        <w:rPr>
          <w:rFonts w:cs="Times New Roman"/>
        </w:rPr>
        <w:t>Research along this line began with the striking findings of (</w:t>
      </w:r>
      <w:hyperlink w:anchor="ref-Barker_1990">
        <w:r w:rsidRPr="004D7AFD">
          <w:rPr>
            <w:rStyle w:val="Hyperlink"/>
            <w:rFonts w:cs="Times New Roman"/>
          </w:rPr>
          <w:t>Barker 1990</w:t>
        </w:r>
      </w:hyperlink>
      <w:r w:rsidRPr="004D7AFD">
        <w:rPr>
          <w:rFonts w:cs="Times New Roman"/>
        </w:rPr>
        <w:t xml:space="preserve">, </w:t>
      </w:r>
      <w:hyperlink w:anchor="ref-Barker_1998">
        <w:r w:rsidRPr="004D7AFD">
          <w:rPr>
            <w:rStyle w:val="Hyperlink"/>
            <w:rFonts w:cs="Times New Roman"/>
          </w:rPr>
          <w:t>1998</w:t>
        </w:r>
      </w:hyperlink>
      <w:r w:rsidRPr="004D7AFD">
        <w:rPr>
          <w:rFonts w:cs="Times New Roman"/>
        </w:rPr>
        <w:t>) and later of Gluckman et al. (</w:t>
      </w:r>
      <w:hyperlink w:anchor="ref-Gluckman.etal_2008">
        <w:r w:rsidRPr="004D7AFD">
          <w:rPr>
            <w:rStyle w:val="Hyperlink"/>
            <w:rFonts w:cs="Times New Roman"/>
          </w:rPr>
          <w:t>2008</w:t>
        </w:r>
      </w:hyperlink>
      <w:r w:rsidRPr="004D7AFD">
        <w:rPr>
          <w:rFonts w:cs="Times New Roman"/>
        </w:rPr>
        <w:t xml:space="preserve">). They found strong associations between birth weight and many later life chronic diseases, including hypertension, coronary artery diseases, type 2 diabetes, and osteoporosis. Many other studies find that much of health developments in later life is determined very early in life—specifically during the prenatal period, right after conception, i.e. in the womb. Sometimes it is said in social sciences that inequality begins in the womb. The effect of an environmental stress in the womb on later life diseases and developmental outcomes is known as </w:t>
      </w:r>
      <w:r w:rsidRPr="004D7AFD">
        <w:rPr>
          <w:rFonts w:cs="Times New Roman"/>
          <w:i/>
          <w:iCs/>
        </w:rPr>
        <w:t>developmental programming</w:t>
      </w:r>
      <w:r w:rsidRPr="004D7AFD">
        <w:rPr>
          <w:rFonts w:cs="Times New Roman"/>
        </w:rPr>
        <w:t>. Gluckman et al. (</w:t>
      </w:r>
      <w:hyperlink w:anchor="ref-Gluckman.etal_2008">
        <w:r w:rsidRPr="004D7AFD">
          <w:rPr>
            <w:rStyle w:val="Hyperlink"/>
            <w:rFonts w:cs="Times New Roman"/>
          </w:rPr>
          <w:t>2008</w:t>
        </w:r>
      </w:hyperlink>
      <w:r w:rsidRPr="004D7AFD">
        <w:rPr>
          <w:rFonts w:cs="Times New Roman"/>
        </w:rPr>
        <w:t>) observes that “like the long latency period between an environmental trigger and the onset of certain cancers, the etiology of many later life diseases such as cardiovascular disease, metabolic disease, or osteoporosis originate as early as in the intrauterine development and the influence of environments that created by the mother.’’ For more empirical evidence on the developmental origin of later life diseases, see (</w:t>
      </w:r>
      <w:hyperlink w:anchor="ref-Barker_2007">
        <w:r w:rsidRPr="004D7AFD">
          <w:rPr>
            <w:rStyle w:val="Hyperlink"/>
            <w:rFonts w:cs="Times New Roman"/>
          </w:rPr>
          <w:t>Barker 2007</w:t>
        </w:r>
      </w:hyperlink>
      <w:r w:rsidRPr="004D7AFD">
        <w:rPr>
          <w:rFonts w:cs="Times New Roman"/>
        </w:rPr>
        <w:t xml:space="preserve">; </w:t>
      </w:r>
      <w:hyperlink w:anchor="ref-Thornburg.etal_2010">
        <w:r w:rsidRPr="004D7AFD">
          <w:rPr>
            <w:rStyle w:val="Hyperlink"/>
            <w:rFonts w:cs="Times New Roman"/>
          </w:rPr>
          <w:t>Thornburg et al. 2010</w:t>
        </w:r>
      </w:hyperlink>
      <w:r w:rsidRPr="004D7AFD">
        <w:rPr>
          <w:rFonts w:cs="Times New Roman"/>
        </w:rPr>
        <w:t>). The papers by (</w:t>
      </w:r>
      <w:hyperlink w:anchor="ref-Kanherkar.etal_2014">
        <w:r w:rsidRPr="004D7AFD">
          <w:rPr>
            <w:rStyle w:val="Hyperlink"/>
            <w:rFonts w:cs="Times New Roman"/>
          </w:rPr>
          <w:t>Kanherkar, Bhatia-Dey, and Csoka 2014</w:t>
        </w:r>
      </w:hyperlink>
      <w:r w:rsidRPr="004D7AFD">
        <w:rPr>
          <w:rFonts w:cs="Times New Roman"/>
        </w:rPr>
        <w:t xml:space="preserve">; and </w:t>
      </w:r>
      <w:hyperlink w:anchor="ref-Barbara.etal_2017">
        <w:r w:rsidRPr="004D7AFD">
          <w:rPr>
            <w:rStyle w:val="Hyperlink"/>
            <w:rFonts w:cs="Times New Roman"/>
          </w:rPr>
          <w:t>Barbara, Abdilla, and Calleja-Agius 2017</w:t>
        </w:r>
      </w:hyperlink>
      <w:r w:rsidRPr="004D7AFD">
        <w:rPr>
          <w:rFonts w:cs="Times New Roman"/>
        </w:rPr>
        <w:t xml:space="preserve">) provide detailed descriptions of the biological process of development of life and health, starting from the conception. They explain how the global DNA demethylation of the fertilized egg right after conception creates an epigenetic </w:t>
      </w:r>
      <w:r w:rsidRPr="004D7AFD">
        <w:rPr>
          <w:rFonts w:cs="Times New Roman"/>
          <w:i/>
          <w:iCs/>
        </w:rPr>
        <w:t>clean slate</w:t>
      </w:r>
      <w:r w:rsidRPr="004D7AFD">
        <w:rPr>
          <w:rFonts w:cs="Times New Roman"/>
        </w:rPr>
        <w:t xml:space="preserve"> to start a new life, followed by rapid remythylation to reprogram the maternal and paternal genomes to create epigenetic configurations in the fetus which rapidly produce specialized cells of the body </w:t>
      </w:r>
      <w:r w:rsidRPr="004D7AFD">
        <w:rPr>
          <w:rFonts w:cs="Times New Roman"/>
        </w:rPr>
        <w:lastRenderedPageBreak/>
        <w:t>with cell divisions. The environment provided in mother’s womb during those times has long-term effects on the child’s later cognitive and other health developments. While inputs at early milestone ages are important for later age health, healthy living and good healthcare are still important for maintaining good health in middle ages.</w:t>
      </w:r>
    </w:p>
    <w:p w14:paraId="2D08705F" w14:textId="77777777" w:rsidR="00697045" w:rsidRPr="004D7AFD" w:rsidRDefault="00000000">
      <w:pPr>
        <w:pStyle w:val="BodyText"/>
        <w:rPr>
          <w:rFonts w:cs="Times New Roman"/>
        </w:rPr>
      </w:pPr>
      <w:r w:rsidRPr="004D7AFD">
        <w:rPr>
          <w:rFonts w:cs="Times New Roman"/>
        </w:rPr>
        <w:t>Studies in social sciences find that low socio-economic status (SES) is associated with inflammation, metabolic dysregulation, and various chronic and age-related diseases such as type 2 diabetes, coronary heart disease, stroke, and dementia, and that low SES create epigenetic changes in individuals that lead to faster biological aging, even after controlling for health-related behaviors such as diet, exercise, smoking, drugs &amp; alcohol, or having health insurance, see for evidence, Simons et al. (</w:t>
      </w:r>
      <w:hyperlink w:anchor="ref-Simons.etal_2016">
        <w:r w:rsidRPr="004D7AFD">
          <w:rPr>
            <w:rStyle w:val="Hyperlink"/>
            <w:rFonts w:cs="Times New Roman"/>
          </w:rPr>
          <w:t>2016</w:t>
        </w:r>
      </w:hyperlink>
      <w:r w:rsidRPr="004D7AFD">
        <w:rPr>
          <w:rFonts w:cs="Times New Roman"/>
        </w:rPr>
        <w:t>). The study by Karakus and Patton (</w:t>
      </w:r>
      <w:hyperlink w:anchor="ref-Karakus.Patton_2011">
        <w:r w:rsidRPr="004D7AFD">
          <w:rPr>
            <w:rStyle w:val="Hyperlink"/>
            <w:rFonts w:cs="Times New Roman"/>
          </w:rPr>
          <w:t>2011</w:t>
        </w:r>
      </w:hyperlink>
      <w:r w:rsidRPr="004D7AFD">
        <w:rPr>
          <w:rFonts w:cs="Times New Roman"/>
        </w:rPr>
        <w:t>) uses the Health and Retirement Studies data and after controlling for education, race, income, health risk indicators like BMI and smoking, functional limitations like gross motor index, health limitations for work, and income, they find that depression at baseline leads to significantly higher risk of developing diabetes, heart diseases, and arthritis, but no significant effect on developing cancer during the 12 years follow-up period. Renna (</w:t>
      </w:r>
      <w:hyperlink w:anchor="ref-Renna_2008">
        <w:r w:rsidRPr="004D7AFD">
          <w:rPr>
            <w:rStyle w:val="Hyperlink"/>
            <w:rFonts w:cs="Times New Roman"/>
          </w:rPr>
          <w:t>2008</w:t>
        </w:r>
      </w:hyperlink>
      <w:r w:rsidRPr="004D7AFD">
        <w:rPr>
          <w:rFonts w:cs="Times New Roman"/>
        </w:rPr>
        <w:t>) uses the National Longitudinal Survey of Youth dataset to find no significant effect of alcohol use on labor market outcomes such as on earnings or hours of work. Seib et al. (</w:t>
      </w:r>
      <w:hyperlink w:anchor="ref-Seib.etal_2014">
        <w:r w:rsidRPr="004D7AFD">
          <w:rPr>
            <w:rStyle w:val="Hyperlink"/>
            <w:rFonts w:cs="Times New Roman"/>
          </w:rPr>
          <w:t>2014</w:t>
        </w:r>
      </w:hyperlink>
      <w:r w:rsidRPr="004D7AFD">
        <w:rPr>
          <w:rFonts w:cs="Times New Roman"/>
        </w:rPr>
        <w:t>) collected data on a sample of older women in Australia and found that severe traumatic life events create strong stress levels that influence them to have unhealthy living and diets measured by BMI, and develop stronger and earlier health problems. Conti, Berndt, and Frank (</w:t>
      </w:r>
      <w:hyperlink w:anchor="ref-Conti.etal_2009">
        <w:r w:rsidRPr="004D7AFD">
          <w:rPr>
            <w:rStyle w:val="Hyperlink"/>
            <w:rFonts w:cs="Times New Roman"/>
          </w:rPr>
          <w:t>2009</w:t>
        </w:r>
      </w:hyperlink>
      <w:r w:rsidRPr="004D7AFD">
        <w:rPr>
          <w:rFonts w:cs="Times New Roman"/>
        </w:rPr>
        <w:t>) utilize the CES-D data in the Health and Retirement Survey dataset to construct a measure of depression, and find that depression of men and women have significant negative effects on employment status, early retirement, and application for DI/SSI benefits. More recently, Case and Deaton (</w:t>
      </w:r>
      <w:hyperlink w:anchor="ref-Case.Deaton_2015">
        <w:r w:rsidRPr="004D7AFD">
          <w:rPr>
            <w:rStyle w:val="Hyperlink"/>
            <w:rFonts w:cs="Times New Roman"/>
          </w:rPr>
          <w:t>2015</w:t>
        </w:r>
      </w:hyperlink>
      <w:r w:rsidRPr="004D7AFD">
        <w:rPr>
          <w:rFonts w:cs="Times New Roman"/>
        </w:rPr>
        <w:t xml:space="preserve">) found a racial reversal in the mortality rates of the US mid-age population between 1993 and 2013. They found that all-cause mortality and morbidity of non-Hispanic white men and women of ages 45-55 have been increasing during the period, mainly due to increases in their incidence rates of drug and alcohol poisoning, suicide, chronic liver diseases and cirrhosis. Morbidity of the group culminate into serious disabilities and crowding into DI and SSI rolls and to lower labor force participation rates, especially among women. Such time reversals are confined to that age and racial group only, and the rates are higher for less educated than educated groups. They attribute such behavioral changes to increased (within and inter-generational) income </w:t>
      </w:r>
      <w:r w:rsidRPr="004D7AFD">
        <w:rPr>
          <w:rFonts w:cs="Times New Roman"/>
        </w:rPr>
        <w:lastRenderedPageBreak/>
        <w:t>inequality and rises in prescription of pain killer drugs and opioids, and falling price and easier availability of heroin.</w:t>
      </w:r>
    </w:p>
    <w:p w14:paraId="37CBAD8D" w14:textId="77777777" w:rsidR="00697045" w:rsidRPr="004D7AFD" w:rsidRDefault="00000000">
      <w:pPr>
        <w:pStyle w:val="BodyText"/>
        <w:rPr>
          <w:rFonts w:cs="Times New Roman"/>
        </w:rPr>
      </w:pPr>
      <w:r w:rsidRPr="004D7AFD">
        <w:rPr>
          <w:rFonts w:cs="Times New Roman"/>
        </w:rPr>
        <w:t>I introduce a statistical multi-state time-to-event event history model of incidence of chronic diseases, disability and death at mid-ages, incorporating childhood factors and health behaviors. Many factors at the cellular level are unobserved or imperfectly instrumented with the observed data which causes biases in the parameter estimates of included regressors. I correct for unobserved heterogeneity biases extending some of the statistical techniques generally studied for two-state models to the multi-state model of this paper.</w:t>
      </w:r>
    </w:p>
    <w:p w14:paraId="1BCDC72D" w14:textId="77777777" w:rsidR="00697045" w:rsidRPr="004D7AFD" w:rsidRDefault="00000000">
      <w:pPr>
        <w:pStyle w:val="BodyText"/>
        <w:rPr>
          <w:rFonts w:cs="Times New Roman"/>
        </w:rPr>
      </w:pPr>
      <w:r w:rsidRPr="004D7AFD">
        <w:rPr>
          <w:rFonts w:cs="Times New Roman"/>
        </w:rPr>
        <w:t xml:space="preserve">The rest of the paper is organized as follows. In </w:t>
      </w:r>
      <w:hyperlink w:anchor="sec-sec2">
        <w:r w:rsidRPr="004D7AFD">
          <w:rPr>
            <w:rStyle w:val="Hyperlink"/>
            <w:rFonts w:cs="Times New Roman"/>
          </w:rPr>
          <w:t>Section 2</w:t>
        </w:r>
      </w:hyperlink>
      <w:r w:rsidRPr="004D7AFD">
        <w:rPr>
          <w:rFonts w:cs="Times New Roman"/>
        </w:rPr>
        <w:t xml:space="preserve">, I provide an extended disablement model of this paper. In </w:t>
      </w:r>
      <w:hyperlink w:anchor="sec-sec3">
        <w:r w:rsidRPr="004D7AFD">
          <w:rPr>
            <w:rStyle w:val="Hyperlink"/>
            <w:rFonts w:cs="Times New Roman"/>
          </w:rPr>
          <w:t>Section 3</w:t>
        </w:r>
      </w:hyperlink>
      <w:r w:rsidRPr="004D7AFD">
        <w:rPr>
          <w:rFonts w:cs="Times New Roman"/>
        </w:rPr>
        <w:t xml:space="preserve">, I describe the econometric specification and various estimation issues. In </w:t>
      </w:r>
      <w:hyperlink w:anchor="sec-sec4">
        <w:r w:rsidRPr="004D7AFD">
          <w:rPr>
            <w:rStyle w:val="Hyperlink"/>
            <w:rFonts w:cs="Times New Roman"/>
          </w:rPr>
          <w:t>Section 4</w:t>
        </w:r>
      </w:hyperlink>
      <w:r w:rsidRPr="004D7AFD">
        <w:rPr>
          <w:rFonts w:cs="Times New Roman"/>
        </w:rPr>
        <w:t xml:space="preserve">, I describe the subset of the Health and Retirement Survey dataset that I use for this study and present non-parametric estimates of the transition probabilities from a model with no covariates. In </w:t>
      </w:r>
      <w:hyperlink w:anchor="sec-sec5">
        <w:r w:rsidRPr="004D7AFD">
          <w:rPr>
            <w:rStyle w:val="Hyperlink"/>
            <w:rFonts w:cs="Times New Roman"/>
          </w:rPr>
          <w:t>Section 5</w:t>
        </w:r>
      </w:hyperlink>
      <w:r w:rsidRPr="004D7AFD">
        <w:rPr>
          <w:rFonts w:cs="Times New Roman"/>
        </w:rPr>
        <w:t xml:space="preserve">, I present estimates of the model parameters after controlling for unobserved heterogeneity. In </w:t>
      </w:r>
      <w:hyperlink w:anchor="sec-sec6">
        <w:r w:rsidRPr="004D7AFD">
          <w:rPr>
            <w:rStyle w:val="Hyperlink"/>
            <w:rFonts w:cs="Times New Roman"/>
          </w:rPr>
          <w:t>Section 6</w:t>
        </w:r>
      </w:hyperlink>
      <w:r w:rsidRPr="004D7AFD">
        <w:rPr>
          <w:rFonts w:cs="Times New Roman"/>
        </w:rPr>
        <w:t xml:space="preserve">, I estimate the quantitative effects of social policies that can improve the childhood factors for various social groups on the probability of maintaining good health and lowering the incidence of disability or mortality rates. </w:t>
      </w:r>
      <w:hyperlink w:anchor="sec-sec7">
        <w:r w:rsidRPr="004D7AFD">
          <w:rPr>
            <w:rStyle w:val="Hyperlink"/>
            <w:rFonts w:cs="Times New Roman"/>
          </w:rPr>
          <w:t>Section 7</w:t>
        </w:r>
      </w:hyperlink>
      <w:r w:rsidRPr="004D7AFD">
        <w:rPr>
          <w:rFonts w:cs="Times New Roman"/>
        </w:rPr>
        <w:t xml:space="preserve"> concludes the paper.</w:t>
      </w:r>
    </w:p>
    <w:p w14:paraId="405ED1BB" w14:textId="77777777" w:rsidR="00697045" w:rsidRPr="004D7AFD" w:rsidRDefault="00000000">
      <w:pPr>
        <w:pStyle w:val="Heading1"/>
        <w:rPr>
          <w:rFonts w:cs="Times New Roman"/>
        </w:rPr>
      </w:pPr>
      <w:bookmarkStart w:id="1" w:name="sec-sec2"/>
      <w:bookmarkEnd w:id="0"/>
      <w:r w:rsidRPr="004D7AFD">
        <w:rPr>
          <w:rFonts w:cs="Times New Roman"/>
        </w:rPr>
        <w:t>The Model</w:t>
      </w:r>
    </w:p>
    <w:p w14:paraId="10A0B83F" w14:textId="77777777" w:rsidR="00697045" w:rsidRPr="004D7AFD" w:rsidRDefault="00000000">
      <w:pPr>
        <w:pStyle w:val="FirstParagraph"/>
        <w:rPr>
          <w:rFonts w:cs="Times New Roman"/>
        </w:rPr>
      </w:pPr>
      <w:r w:rsidRPr="004D7AFD">
        <w:rPr>
          <w:rFonts w:cs="Times New Roman"/>
        </w:rPr>
        <w:t>With insights from the disablement modeling literature of (</w:t>
      </w:r>
      <w:hyperlink w:anchor="ref-Nagi_1965">
        <w:r w:rsidRPr="004D7AFD">
          <w:rPr>
            <w:rStyle w:val="Hyperlink"/>
            <w:rFonts w:cs="Times New Roman"/>
          </w:rPr>
          <w:t>Nagi 1965</w:t>
        </w:r>
      </w:hyperlink>
      <w:r w:rsidRPr="004D7AFD">
        <w:rPr>
          <w:rFonts w:cs="Times New Roman"/>
        </w:rPr>
        <w:t xml:space="preserve">; </w:t>
      </w:r>
      <w:hyperlink w:anchor="ref-Verbrugge.Jette_1994">
        <w:r w:rsidRPr="004D7AFD">
          <w:rPr>
            <w:rStyle w:val="Hyperlink"/>
            <w:rFonts w:cs="Times New Roman"/>
          </w:rPr>
          <w:t>Verbrugge and Jette 1994</w:t>
        </w:r>
      </w:hyperlink>
      <w:r w:rsidRPr="004D7AFD">
        <w:rPr>
          <w:rFonts w:cs="Times New Roman"/>
        </w:rPr>
        <w:t xml:space="preserve">; </w:t>
      </w:r>
      <w:hyperlink w:anchor="ref-Verbrugge.etal_2017">
        <w:r w:rsidRPr="004D7AFD">
          <w:rPr>
            <w:rStyle w:val="Hyperlink"/>
            <w:rFonts w:cs="Times New Roman"/>
          </w:rPr>
          <w:t>Verbrugge, Latham, and Clarke 2017</w:t>
        </w:r>
      </w:hyperlink>
      <w:r w:rsidRPr="004D7AFD">
        <w:rPr>
          <w:rFonts w:cs="Times New Roman"/>
        </w:rPr>
        <w:t xml:space="preserve">) and the biomedical literature on the aging process, I formulate and then estimate an econometric model of pathways to entering the disability rolls. An individual can be on the disability rolls if the individual has a qualifying disability before reaching full retirement age (FRA) and has not died before applying for disability benefits. The FRA depends on the birth year of a cohort. In our dataset, FRA varies from </w:t>
      </w:r>
      <w:r w:rsidRPr="004D7AFD">
        <w:rPr>
          <w:rFonts w:cs="Times New Roman"/>
          <w:i/>
          <w:iCs/>
        </w:rPr>
        <w:t>65</w:t>
      </w:r>
      <w:r w:rsidRPr="004D7AFD">
        <w:rPr>
          <w:rFonts w:cs="Times New Roman"/>
        </w:rPr>
        <w:t xml:space="preserve"> to </w:t>
      </w:r>
      <w:r w:rsidRPr="004D7AFD">
        <w:rPr>
          <w:rFonts w:cs="Times New Roman"/>
          <w:i/>
          <w:iCs/>
        </w:rPr>
        <w:t>67</w:t>
      </w:r>
      <w:r w:rsidRPr="004D7AFD">
        <w:rPr>
          <w:rFonts w:cs="Times New Roman"/>
        </w:rPr>
        <w:t xml:space="preserve">. Because I will be pooling data on all cohorts for the estimation of the model, I will take the follow-up age of individuals to age </w:t>
      </w:r>
      <w:r w:rsidRPr="004D7AFD">
        <w:rPr>
          <w:rFonts w:cs="Times New Roman"/>
          <w:i/>
          <w:iCs/>
        </w:rPr>
        <w:t>65</w:t>
      </w:r>
      <w:r w:rsidRPr="004D7AFD">
        <w:rPr>
          <w:rFonts w:cs="Times New Roman"/>
        </w:rPr>
        <w:t xml:space="preserve">, i.e., after reaching age </w:t>
      </w:r>
      <w:r w:rsidRPr="004D7AFD">
        <w:rPr>
          <w:rFonts w:cs="Times New Roman"/>
          <w:i/>
          <w:iCs/>
        </w:rPr>
        <w:t>65</w:t>
      </w:r>
      <w:r w:rsidRPr="004D7AFD">
        <w:rPr>
          <w:rFonts w:cs="Times New Roman"/>
        </w:rPr>
        <w:t xml:space="preserve">, an individual is not followed any further. I assume that an individual’s getting on the disability rolls is a terminal event, i.e., the individual does not </w:t>
      </w:r>
      <w:r w:rsidRPr="004D7AFD">
        <w:rPr>
          <w:rFonts w:cs="Times New Roman"/>
        </w:rPr>
        <w:lastRenderedPageBreak/>
        <w:t>move to normal or diseased health states.</w:t>
      </w:r>
      <w:r w:rsidRPr="004D7AFD">
        <w:rPr>
          <w:rStyle w:val="FootnoteReference"/>
          <w:rFonts w:cs="Times New Roman"/>
        </w:rPr>
        <w:footnoteReference w:id="4"/>
      </w:r>
      <w:r w:rsidRPr="004D7AFD">
        <w:rPr>
          <w:rFonts w:cs="Times New Roman"/>
        </w:rPr>
        <w:t xml:space="preserve"> After reaching this state, the individual is not followed any further. A competing risk of getting on the rolls is death before age </w:t>
      </w:r>
      <w:r w:rsidRPr="004D7AFD">
        <w:rPr>
          <w:rFonts w:cs="Times New Roman"/>
          <w:i/>
          <w:iCs/>
        </w:rPr>
        <w:t>65</w:t>
      </w:r>
      <w:r w:rsidRPr="004D7AFD">
        <w:rPr>
          <w:rFonts w:cs="Times New Roman"/>
        </w:rPr>
        <w:t xml:space="preserve">. This is a competing risk because an individual cannot be at risk for disability enrollment if the individual is already dead and thus not at risk to get on the disability rolls. In the language of stochastic processes defined below, disability health state and death health state are </w:t>
      </w:r>
      <w:r w:rsidRPr="004D7AFD">
        <w:rPr>
          <w:rFonts w:cs="Times New Roman"/>
          <w:i/>
          <w:iCs/>
        </w:rPr>
        <w:t>absorbing states</w:t>
      </w:r>
      <w:r w:rsidRPr="004D7AFD">
        <w:rPr>
          <w:rFonts w:cs="Times New Roman"/>
        </w:rPr>
        <w:t>, i.e., once in that health state, an individual remains in that health state and removed from the sample for later considerations.</w:t>
      </w:r>
    </w:p>
    <w:p w14:paraId="00C8FD0A" w14:textId="77777777" w:rsidR="00697045" w:rsidRPr="004D7AFD" w:rsidRDefault="00000000">
      <w:pPr>
        <w:pStyle w:val="BodyText"/>
        <w:rPr>
          <w:rFonts w:cs="Times New Roman"/>
        </w:rPr>
      </w:pPr>
      <w:r w:rsidRPr="004D7AFD">
        <w:rPr>
          <w:rFonts w:cs="Times New Roman"/>
        </w:rPr>
        <w:t xml:space="preserve">An individual at any time along the path to disability or to death will be in the normal health state for a length of time, and then will move to another health state, say diseased health state, and remain there for some time, and then move to the health state of disability or to death, or reach age 65 and censored after that. There are many possible paths that an individual can follow. Even when the health states they pass through are the same, the duration of stay in each health state (also known as the </w:t>
      </w:r>
      <w:r w:rsidRPr="004D7AFD">
        <w:rPr>
          <w:rFonts w:cs="Times New Roman"/>
          <w:i/>
          <w:iCs/>
        </w:rPr>
        <w:t>waiting time</w:t>
      </w:r>
      <w:r w:rsidRPr="004D7AFD">
        <w:rPr>
          <w:rFonts w:cs="Times New Roman"/>
        </w:rPr>
        <w:t xml:space="preserve"> in stochastic process literature) could vary. Each configuration of visited states and the waiting times in those states constitute one path. When time is continuous, the number of paths that one can follow is infinite. For an individual one path maybe more likely than another and may depend on the individual’s genetic and prior health related behaviors. From the diagram below one can see various paths that an individual may follow during the study period. The focus of the paper is to study the probabilities of various transitions and the duration of stay in each health state.</w:t>
      </w:r>
    </w:p>
    <w:p w14:paraId="39A02C4B" w14:textId="77777777" w:rsidR="00697045" w:rsidRPr="004D7AFD" w:rsidRDefault="00000000">
      <w:pPr>
        <w:pStyle w:val="BodyText"/>
        <w:rPr>
          <w:rFonts w:cs="Times New Roman"/>
        </w:rPr>
      </w:pPr>
      <w:r w:rsidRPr="004D7AFD">
        <w:rPr>
          <w:rFonts w:cs="Times New Roman"/>
        </w:rPr>
        <w:t xml:space="preserve">The path diagram in </w:t>
      </w:r>
      <w:hyperlink w:anchor="fig-fig1N">
        <w:r w:rsidRPr="004D7AFD">
          <w:rPr>
            <w:rStyle w:val="Hyperlink"/>
            <w:rFonts w:cs="Times New Roman"/>
          </w:rPr>
          <w:t>Figure 1</w:t>
        </w:r>
      </w:hyperlink>
      <w:r w:rsidRPr="004D7AFD">
        <w:rPr>
          <w:rFonts w:cs="Times New Roman"/>
        </w:rPr>
        <w:t xml:space="preserve"> describes various pathways that individuals may go through in their mid-ages.</w:t>
      </w:r>
    </w:p>
    <w:tbl>
      <w:tblPr>
        <w:tblW w:w="5000" w:type="pct"/>
        <w:tblLook w:val="0000" w:firstRow="0" w:lastRow="0" w:firstColumn="0" w:lastColumn="0" w:noHBand="0" w:noVBand="0"/>
      </w:tblPr>
      <w:tblGrid>
        <w:gridCol w:w="9360"/>
      </w:tblGrid>
      <w:tr w:rsidR="00697045" w:rsidRPr="004D7AFD" w14:paraId="51732028" w14:textId="77777777">
        <w:tc>
          <w:tcPr>
            <w:tcW w:w="0" w:type="auto"/>
          </w:tcPr>
          <w:p w14:paraId="50D013E9" w14:textId="77777777" w:rsidR="00697045" w:rsidRPr="004D7AFD" w:rsidRDefault="00000000">
            <w:pPr>
              <w:jc w:val="center"/>
              <w:rPr>
                <w:rFonts w:cs="Times New Roman"/>
              </w:rPr>
            </w:pPr>
            <w:bookmarkStart w:id="2" w:name="fig-fig1N"/>
            <w:r w:rsidRPr="004D7AFD">
              <w:rPr>
                <w:rFonts w:cs="Times New Roman"/>
                <w:noProof/>
              </w:rPr>
              <w:lastRenderedPageBreak/>
              <w:drawing>
                <wp:inline distT="0" distB="0" distL="0" distR="0" wp14:anchorId="48712394" wp14:editId="376EB1CB">
                  <wp:extent cx="4457700" cy="349274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arly_Childhood_factors_and_Health_files/figure-docx/fig-fig1N-1.png"/>
                          <pic:cNvPicPr>
                            <a:picLocks noChangeAspect="1" noChangeArrowheads="1"/>
                          </pic:cNvPicPr>
                        </pic:nvPicPr>
                        <pic:blipFill>
                          <a:blip r:embed="rId7"/>
                          <a:stretch>
                            <a:fillRect/>
                          </a:stretch>
                        </pic:blipFill>
                        <pic:spPr bwMode="auto">
                          <a:xfrm>
                            <a:off x="0" y="0"/>
                            <a:ext cx="4457700" cy="3492749"/>
                          </a:xfrm>
                          <a:prstGeom prst="rect">
                            <a:avLst/>
                          </a:prstGeom>
                          <a:noFill/>
                          <a:ln w="9525">
                            <a:noFill/>
                            <a:headEnd/>
                            <a:tailEnd/>
                          </a:ln>
                        </pic:spPr>
                      </pic:pic>
                    </a:graphicData>
                  </a:graphic>
                </wp:inline>
              </w:drawing>
            </w:r>
          </w:p>
          <w:p w14:paraId="5998AEB4" w14:textId="77777777" w:rsidR="00697045" w:rsidRPr="004D7AFD" w:rsidRDefault="00000000">
            <w:pPr>
              <w:pStyle w:val="ImageCaption"/>
              <w:spacing w:before="200"/>
              <w:rPr>
                <w:rFonts w:cs="Times New Roman"/>
              </w:rPr>
            </w:pPr>
            <w:r w:rsidRPr="004D7AFD">
              <w:rPr>
                <w:rFonts w:cs="Times New Roman"/>
              </w:rPr>
              <w:t>Figure 1: Path diagram of health trajectories.</w:t>
            </w:r>
          </w:p>
        </w:tc>
        <w:bookmarkEnd w:id="2"/>
      </w:tr>
    </w:tbl>
    <w:p w14:paraId="48A58688" w14:textId="77777777" w:rsidR="00697045" w:rsidRPr="004D7AFD" w:rsidRDefault="00000000">
      <w:pPr>
        <w:pStyle w:val="BodyText"/>
        <w:rPr>
          <w:rFonts w:cs="Times New Roman"/>
        </w:rPr>
      </w:pPr>
      <w:r w:rsidRPr="004D7AFD">
        <w:rPr>
          <w:rFonts w:cs="Times New Roman"/>
        </w:rPr>
        <w:t xml:space="preserve">I model pathways through health states as a continuous-time finite-state stochastic process </w:t>
      </w:r>
      <m:oMath>
        <m:r>
          <w:rPr>
            <w:rFonts w:ascii="Cambria Math" w:hAnsi="Cambria Math" w:cs="Times New Roman"/>
          </w:rPr>
          <m:t>Z</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oMath>
      <w:r w:rsidRPr="004D7AFD">
        <w:rPr>
          <w:rFonts w:cs="Times New Roman"/>
        </w:rPr>
        <w:t xml:space="preserve">, where at each time point </w:t>
      </w:r>
      <m:oMath>
        <m:r>
          <w:rPr>
            <w:rFonts w:ascii="Cambria Math" w:hAnsi="Cambria Math" w:cs="Times New Roman"/>
          </w:rPr>
          <m:t>t</m:t>
        </m:r>
      </m:oMath>
      <w:r w:rsidRPr="004D7AFD">
        <w:rPr>
          <w:rFonts w:cs="Times New Roman"/>
        </w:rPr>
        <w:t xml:space="preserve"> during the study period </w:t>
      </w:r>
      <m:oMath>
        <m:r>
          <w:rPr>
            <w:rFonts w:ascii="Cambria Math" w:hAnsi="Cambria Math" w:cs="Times New Roman"/>
          </w:rPr>
          <m:t>T</m:t>
        </m:r>
      </m:oMath>
      <w:r w:rsidRPr="004D7AFD">
        <w:rPr>
          <w:rFonts w:cs="Times New Roman"/>
        </w:rPr>
        <w:t xml:space="preserve">, the random variable </w:t>
      </w:r>
      <m:oMath>
        <m:r>
          <w:rPr>
            <w:rFonts w:ascii="Cambria Math" w:hAnsi="Cambria Math" w:cs="Times New Roman"/>
          </w:rPr>
          <m:t>Z</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takes a value from a finite set </w:t>
      </w:r>
      <m:oMath>
        <m:r>
          <w:rPr>
            <w:rFonts w:ascii="Cambria Math" w:hAnsi="Cambria Math" w:cs="Times New Roman"/>
          </w:rPr>
          <m:t>S</m:t>
        </m:r>
      </m:oMath>
      <w:r w:rsidRPr="004D7AFD">
        <w:rPr>
          <w:rFonts w:cs="Times New Roman"/>
        </w:rPr>
        <w:t xml:space="preserve"> of health states. I take </w:t>
      </w:r>
      <m:oMath>
        <m:r>
          <w:rPr>
            <w:rFonts w:ascii="Cambria Math" w:hAnsi="Cambria Math" w:cs="Times New Roman"/>
          </w:rPr>
          <m:t>T</m:t>
        </m:r>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51</m:t>
            </m:r>
            <m:r>
              <m:rPr>
                <m:sty m:val="p"/>
              </m:rPr>
              <w:rPr>
                <w:rFonts w:ascii="Cambria Math" w:hAnsi="Cambria Math" w:cs="Times New Roman"/>
              </w:rPr>
              <m:t>,</m:t>
            </m:r>
            <m:r>
              <w:rPr>
                <w:rFonts w:ascii="Cambria Math" w:hAnsi="Cambria Math" w:cs="Times New Roman"/>
              </w:rPr>
              <m:t>65</m:t>
            </m:r>
          </m:e>
        </m:d>
      </m:oMath>
      <w:r w:rsidRPr="004D7AFD">
        <w:rPr>
          <w:rFonts w:cs="Times New Roman"/>
        </w:rPr>
        <w:t xml:space="preserve">. The state space </w:t>
      </w:r>
      <m:oMath>
        <m:r>
          <w:rPr>
            <w:rFonts w:ascii="Cambria Math" w:hAnsi="Cambria Math" w:cs="Times New Roman"/>
          </w:rPr>
          <m:t>S</m:t>
        </m:r>
      </m:oMath>
      <w:r w:rsidRPr="004D7AFD">
        <w:rPr>
          <w:rFonts w:cs="Times New Roman"/>
        </w:rPr>
        <w:t xml:space="preserve"> of the stochastic process contains health states </w:t>
      </w:r>
      <m:oMath>
        <m:r>
          <w:rPr>
            <w:rFonts w:ascii="Cambria Math" w:hAnsi="Cambria Math" w:cs="Times New Roman"/>
          </w:rPr>
          <m:t>1</m:t>
        </m:r>
        <m:r>
          <m:rPr>
            <m:sty m:val="p"/>
          </m:rPr>
          <w:rPr>
            <w:rFonts w:ascii="Cambria Math" w:hAnsi="Cambria Math" w:cs="Times New Roman"/>
          </w:rPr>
          <m:t>=</m:t>
        </m:r>
      </m:oMath>
      <w:r w:rsidRPr="004D7AFD">
        <w:rPr>
          <w:rFonts w:cs="Times New Roman"/>
        </w:rPr>
        <w:t xml:space="preserve"> “healthy or normal health”, </w:t>
      </w:r>
      <m:oMath>
        <m:r>
          <w:rPr>
            <w:rFonts w:ascii="Cambria Math" w:hAnsi="Cambria Math" w:cs="Times New Roman"/>
          </w:rPr>
          <m:t>2</m:t>
        </m:r>
        <m:r>
          <m:rPr>
            <m:sty m:val="p"/>
          </m:rPr>
          <w:rPr>
            <w:rFonts w:ascii="Cambria Math" w:hAnsi="Cambria Math" w:cs="Times New Roman"/>
          </w:rPr>
          <m:t>=</m:t>
        </m:r>
      </m:oMath>
      <w:r w:rsidRPr="004D7AFD">
        <w:rPr>
          <w:rFonts w:cs="Times New Roman"/>
        </w:rPr>
        <w:t xml:space="preserve"> “diseased with one or more chronic diseases”, </w:t>
      </w:r>
      <m:oMath>
        <m:r>
          <w:rPr>
            <w:rFonts w:ascii="Cambria Math" w:hAnsi="Cambria Math" w:cs="Times New Roman"/>
          </w:rPr>
          <m:t>3</m:t>
        </m:r>
        <m:r>
          <m:rPr>
            <m:sty m:val="p"/>
          </m:rPr>
          <w:rPr>
            <w:rFonts w:ascii="Cambria Math" w:hAnsi="Cambria Math" w:cs="Times New Roman"/>
          </w:rPr>
          <m:t>=</m:t>
        </m:r>
      </m:oMath>
      <w:r w:rsidRPr="004D7AFD">
        <w:rPr>
          <w:rFonts w:cs="Times New Roman"/>
        </w:rPr>
        <w:t xml:space="preserve"> “disabled with DI or SSI qualifying disability” and </w:t>
      </w:r>
      <m:oMath>
        <m:r>
          <w:rPr>
            <w:rFonts w:ascii="Cambria Math" w:hAnsi="Cambria Math" w:cs="Times New Roman"/>
          </w:rPr>
          <m:t>4</m:t>
        </m:r>
        <m:r>
          <m:rPr>
            <m:sty m:val="p"/>
          </m:rPr>
          <w:rPr>
            <w:rFonts w:ascii="Cambria Math" w:hAnsi="Cambria Math" w:cs="Times New Roman"/>
          </w:rPr>
          <m:t>=</m:t>
        </m:r>
      </m:oMath>
      <w:r w:rsidRPr="004D7AFD">
        <w:rPr>
          <w:rFonts w:cs="Times New Roman"/>
        </w:rPr>
        <w:t xml:space="preserve"> “death”. Sometimes I will denote the state space as </w:t>
      </w: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d</m:t>
        </m:r>
        <m:r>
          <m:rPr>
            <m:sty m:val="p"/>
          </m:rPr>
          <w:rPr>
            <w:rFonts w:ascii="Cambria Math" w:hAnsi="Cambria Math" w:cs="Times New Roman"/>
          </w:rPr>
          <m:t>,</m:t>
        </m:r>
        <m:r>
          <w:rPr>
            <w:rFonts w:ascii="Cambria Math" w:hAnsi="Cambria Math" w:cs="Times New Roman"/>
          </w:rPr>
          <m:t>D</m:t>
        </m:r>
        <m:r>
          <m:rPr>
            <m:sty m:val="p"/>
          </m:rPr>
          <w:rPr>
            <w:rFonts w:ascii="Cambria Math" w:hAnsi="Cambria Math" w:cs="Times New Roman"/>
          </w:rPr>
          <m:t>}</m:t>
        </m:r>
      </m:oMath>
      <w:r w:rsidRPr="004D7AFD">
        <w:rPr>
          <w:rFonts w:cs="Times New Roman"/>
        </w:rPr>
        <w:t xml:space="preserve"> in place of </w:t>
      </w:r>
      <m:oMath>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r>
          <m:rPr>
            <m:sty m:val="p"/>
          </m:rPr>
          <w:rPr>
            <w:rFonts w:ascii="Cambria Math" w:hAnsi="Cambria Math" w:cs="Times New Roman"/>
          </w:rPr>
          <m:t>}</m:t>
        </m:r>
      </m:oMath>
      <w:r w:rsidRPr="004D7AFD">
        <w:rPr>
          <w:rFonts w:cs="Times New Roman"/>
        </w:rPr>
        <w:t xml:space="preserve">. Denote by </w:t>
      </w:r>
      <m:oMath>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t</m:t>
            </m:r>
          </m:sub>
        </m:sSub>
      </m:oMath>
      <w:r w:rsidRPr="004D7AFD">
        <w:rPr>
          <w:rFonts w:cs="Times New Roman"/>
        </w:rPr>
        <w:t xml:space="preserve"> the history of a set of covariates </w:t>
      </w:r>
      <m:oMath>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w:r w:rsidRPr="004D7AFD">
        <w:rPr>
          <w:rFonts w:cs="Times New Roman"/>
        </w:rPr>
        <w:t xml:space="preserve"> that are associated or are direct measures of genetic and epigenetic factors that influence the health development process up to time </w:t>
      </w:r>
      <m:oMath>
        <m:r>
          <w:rPr>
            <w:rFonts w:ascii="Cambria Math" w:hAnsi="Cambria Math" w:cs="Times New Roman"/>
          </w:rPr>
          <m:t>t</m:t>
        </m:r>
      </m:oMath>
      <w:r w:rsidRPr="004D7AFD">
        <w:rPr>
          <w:rFonts w:cs="Times New Roman"/>
        </w:rPr>
        <w:t xml:space="preserve">, and </w:t>
      </w:r>
      <m:oMath>
        <m:r>
          <m:rPr>
            <m:sty m:val="p"/>
          </m:rPr>
          <w:rPr>
            <w:rFonts w:ascii="Cambria Math" w:hAnsi="Cambria Math" w:cs="Times New Roman"/>
          </w:rPr>
          <m:t>{</m:t>
        </m:r>
        <m:r>
          <w:rPr>
            <w:rFonts w:ascii="Cambria Math" w:hAnsi="Cambria Math" w:cs="Times New Roman"/>
          </w:rPr>
          <m:t>Z</m:t>
        </m:r>
        <m:d>
          <m:dPr>
            <m:ctrlPr>
              <w:rPr>
                <w:rFonts w:ascii="Cambria Math" w:hAnsi="Cambria Math" w:cs="Times New Roman"/>
              </w:rPr>
            </m:ctrlPr>
          </m:dPr>
          <m:e>
            <m:r>
              <w:rPr>
                <w:rFonts w:ascii="Cambria Math" w:hAnsi="Cambria Math" w:cs="Times New Roman"/>
              </w:rPr>
              <m:t>u</m:t>
            </m:r>
          </m:e>
        </m:d>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w:r w:rsidRPr="004D7AFD">
        <w:rPr>
          <w:rFonts w:cs="Times New Roman"/>
        </w:rPr>
        <w:t xml:space="preserve"> the paths of health states that the individual has gone through up to time </w:t>
      </w:r>
      <m:oMath>
        <m:r>
          <w:rPr>
            <w:rFonts w:ascii="Cambria Math" w:hAnsi="Cambria Math" w:cs="Times New Roman"/>
          </w:rPr>
          <m:t>t</m:t>
        </m:r>
      </m:oMath>
      <w:r w:rsidRPr="004D7AFD">
        <w:rPr>
          <w:rFonts w:cs="Times New Roman"/>
        </w:rPr>
        <w:t xml:space="preserve">. That is, </w:t>
      </w:r>
      <m:oMath>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Z</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u</m:t>
            </m:r>
          </m:e>
        </m:d>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0</m:t>
            </m:r>
          </m:sub>
          <m:sup>
            <m:r>
              <w:rPr>
                <w:rFonts w:ascii="Cambria Math" w:hAnsi="Cambria Math" w:cs="Times New Roman"/>
              </w:rPr>
              <m:t>t</m:t>
            </m:r>
          </m:sup>
        </m:sSubSup>
      </m:oMath>
      <w:r w:rsidRPr="004D7AFD">
        <w:rPr>
          <w:rFonts w:cs="Times New Roman"/>
        </w:rPr>
        <w:t xml:space="preserve">. More generally, the history up to time </w:t>
      </w:r>
      <m:oMath>
        <m:r>
          <w:rPr>
            <w:rFonts w:ascii="Cambria Math" w:hAnsi="Cambria Math" w:cs="Times New Roman"/>
          </w:rPr>
          <m:t>t</m:t>
        </m:r>
      </m:oMath>
      <w:r w:rsidRPr="004D7AFD">
        <w:rPr>
          <w:rFonts w:cs="Times New Roman"/>
        </w:rPr>
        <w:t xml:space="preserve">, is represented by a </w:t>
      </w:r>
      <m:oMath>
        <m:r>
          <w:rPr>
            <w:rFonts w:ascii="Cambria Math" w:hAnsi="Cambria Math" w:cs="Times New Roman"/>
          </w:rPr>
          <m:t>σ</m:t>
        </m:r>
      </m:oMath>
      <w:r w:rsidRPr="004D7AFD">
        <w:rPr>
          <w:rFonts w:cs="Times New Roman"/>
        </w:rPr>
        <w:t xml:space="preserve">-algebra </w:t>
      </w:r>
      <m:oMath>
        <m:sSub>
          <m:sSubPr>
            <m:ctrlPr>
              <w:rPr>
                <w:rFonts w:ascii="Cambria Math" w:hAnsi="Cambria Math" w:cs="Times New Roman"/>
              </w:rPr>
            </m:ctrlPr>
          </m:sSubPr>
          <m:e>
            <m:r>
              <m:rPr>
                <m:scr m:val="script"/>
                <m:sty m:val="p"/>
              </m:rPr>
              <w:rPr>
                <w:rFonts w:ascii="Cambria Math" w:hAnsi="Cambria Math" w:cs="Times New Roman"/>
              </w:rPr>
              <m:t>F</m:t>
            </m:r>
          </m:e>
          <m:sub>
            <m:r>
              <w:rPr>
                <w:rFonts w:ascii="Cambria Math" w:hAnsi="Cambria Math" w:cs="Times New Roman"/>
              </w:rPr>
              <m:t>t</m:t>
            </m:r>
          </m:sub>
        </m:sSub>
      </m:oMath>
      <w:r w:rsidRPr="004D7AFD">
        <w:rPr>
          <w:rFonts w:cs="Times New Roman"/>
        </w:rPr>
        <w:t xml:space="preserve"> which is generated by the history </w:t>
      </w:r>
      <m:oMath>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t</m:t>
            </m:r>
          </m:sub>
        </m:sSub>
      </m:oMath>
      <w:r w:rsidRPr="004D7AFD">
        <w:rPr>
          <w:rFonts w:cs="Times New Roman"/>
        </w:rPr>
        <w:t>.</w:t>
      </w:r>
    </w:p>
    <w:p w14:paraId="1126EDBF" w14:textId="77777777" w:rsidR="00697045" w:rsidRPr="004D7AFD" w:rsidRDefault="00000000">
      <w:pPr>
        <w:pStyle w:val="BodyText"/>
        <w:rPr>
          <w:rFonts w:cs="Times New Roman"/>
        </w:rPr>
      </w:pPr>
      <w:r w:rsidRPr="004D7AFD">
        <w:rPr>
          <w:rFonts w:cs="Times New Roman"/>
        </w:rPr>
        <w:t xml:space="preserve">The transition probabilities of our stochastic process </w:t>
      </w:r>
      <m:oMath>
        <m:r>
          <w:rPr>
            <w:rFonts w:ascii="Cambria Math" w:hAnsi="Cambria Math" w:cs="Times New Roman"/>
          </w:rPr>
          <m:t>Z</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given the history process </w:t>
      </w:r>
      <m:oMath>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t</m:t>
            </m:r>
          </m:sub>
        </m:sSub>
      </m:oMath>
      <w:r w:rsidRPr="004D7AFD">
        <w:rPr>
          <w:rFonts w:cs="Times New Roman"/>
        </w:rPr>
        <w:t xml:space="preserve"> are defined by,</w:t>
      </w:r>
    </w:p>
    <w:bookmarkStart w:id="3" w:name="eq-eq1"/>
    <w:p w14:paraId="1D7B5FCD" w14:textId="77777777" w:rsidR="00697045" w:rsidRPr="004D7AFD" w:rsidRDefault="00000000">
      <w:pPr>
        <w:pStyle w:val="BodyText"/>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r>
            <w:rPr>
              <w:rFonts w:ascii="Cambria Math" w:hAnsi="Cambria Math" w:cs="Times New Roman"/>
            </w:rPr>
            <m:t>Prob</m:t>
          </m:r>
          <m:d>
            <m:dPr>
              <m:ctrlPr>
                <w:rPr>
                  <w:rFonts w:ascii="Cambria Math" w:hAnsi="Cambria Math" w:cs="Times New Roman"/>
                </w:rPr>
              </m:ctrlPr>
            </m:dPr>
            <m:e>
              <m:r>
                <w:rPr>
                  <w:rFonts w:ascii="Cambria Math" w:hAnsi="Cambria Math" w:cs="Times New Roman"/>
                </w:rPr>
                <m:t>Z</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Z</m:t>
              </m:r>
              <m:d>
                <m:dPr>
                  <m:ctrlPr>
                    <w:rPr>
                      <w:rFonts w:ascii="Cambria Math" w:hAnsi="Cambria Math" w:cs="Times New Roman"/>
                    </w:rPr>
                  </m:ctrlPr>
                </m:dPr>
                <m:e>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1</m:t>
              </m:r>
            </m:e>
          </m:d>
        </m:oMath>
      </m:oMathPara>
      <w:bookmarkEnd w:id="3"/>
    </w:p>
    <w:p w14:paraId="211703C8" w14:textId="77777777" w:rsidR="00697045" w:rsidRPr="004D7AFD" w:rsidRDefault="00000000">
      <w:pPr>
        <w:pStyle w:val="FirstParagraph"/>
        <w:rPr>
          <w:rFonts w:cs="Times New Roman"/>
        </w:rPr>
      </w:pPr>
      <w:r w:rsidRPr="004D7AFD">
        <w:rPr>
          <w:rFonts w:cs="Times New Roman"/>
        </w:rPr>
        <w:lastRenderedPageBreak/>
        <w:t xml:space="preserve">for all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oMath>
      <w:r w:rsidRPr="004D7AFD">
        <w:rPr>
          <w:rFonts w:cs="Times New Roman"/>
        </w:rPr>
        <w:t xml:space="preserve"> </w:t>
      </w: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oMath>
      <w:r w:rsidRPr="004D7AFD">
        <w:rPr>
          <w:rFonts w:cs="Times New Roman"/>
        </w:rPr>
        <w:t xml:space="preserv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oMath>
      <w:r w:rsidRPr="004D7AFD">
        <w:rPr>
          <w:rFonts w:cs="Times New Roman"/>
        </w:rPr>
        <w:t>. The transition probabilities contain important information about policy questions.</w:t>
      </w:r>
    </w:p>
    <w:p w14:paraId="0AF8CE00" w14:textId="77777777" w:rsidR="00697045" w:rsidRPr="004D7AFD" w:rsidRDefault="00000000">
      <w:pPr>
        <w:pStyle w:val="BodyText"/>
        <w:rPr>
          <w:rFonts w:cs="Times New Roman"/>
        </w:rPr>
      </w:pPr>
      <w:r w:rsidRPr="004D7AFD">
        <w:rPr>
          <w:rFonts w:cs="Times New Roman"/>
        </w:rPr>
        <w:t xml:space="preserve">I use the counting process representation of the above event history process, which turns out to be very useful for modeling of event history data and for statistical inference of the model. For each individual corresponding to each transient health state </w:t>
      </w:r>
      <m:oMath>
        <m:r>
          <w:rPr>
            <w:rFonts w:ascii="Cambria Math" w:hAnsi="Cambria Math" w:cs="Times New Roman"/>
          </w:rPr>
          <m:t>h</m:t>
        </m:r>
      </m:oMath>
      <w:r w:rsidRPr="004D7AFD">
        <w:rPr>
          <w:rFonts w:cs="Times New Roman"/>
        </w:rPr>
        <w:t xml:space="preserv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4D7AFD">
        <w:rPr>
          <w:rFonts w:cs="Times New Roman"/>
        </w:rPr>
        <w:t xml:space="preserve">), define two types of stochastic processes: (1) the counting processes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denoting the </w:t>
      </w:r>
      <w:r w:rsidRPr="004D7AFD">
        <w:rPr>
          <w:rFonts w:cs="Times New Roman"/>
          <w:b/>
          <w:bCs/>
        </w:rPr>
        <w:t>observed</w:t>
      </w:r>
      <w:r w:rsidRPr="004D7AFD">
        <w:rPr>
          <w:rFonts w:cs="Times New Roman"/>
        </w:rPr>
        <w:t xml:space="preserve"> number of transitions from health state </w:t>
      </w:r>
      <m:oMath>
        <m:r>
          <w:rPr>
            <w:rFonts w:ascii="Cambria Math" w:hAnsi="Cambria Math" w:cs="Times New Roman"/>
          </w:rPr>
          <m:t>h</m:t>
        </m:r>
      </m:oMath>
      <w:r w:rsidRPr="004D7AFD">
        <w:rPr>
          <w:rFonts w:cs="Times New Roman"/>
        </w:rPr>
        <w:t xml:space="preserve"> to health state </w:t>
      </w:r>
      <m:oMath>
        <m:r>
          <w:rPr>
            <w:rFonts w:ascii="Cambria Math" w:hAnsi="Cambria Math" w:cs="Times New Roman"/>
          </w:rPr>
          <m:t>j</m:t>
        </m:r>
      </m:oMath>
      <w:r w:rsidRPr="004D7AFD">
        <w:rPr>
          <w:rFonts w:cs="Times New Roman"/>
        </w:rPr>
        <w:t xml:space="preserve"> that the individual has made by time </w:t>
      </w:r>
      <m:oMath>
        <m:r>
          <w:rPr>
            <w:rFonts w:ascii="Cambria Math" w:hAnsi="Cambria Math" w:cs="Times New Roman"/>
          </w:rPr>
          <m:t>t</m:t>
        </m:r>
      </m:oMath>
      <w:r w:rsidRPr="004D7AFD">
        <w:rPr>
          <w:rFonts w:cs="Times New Roman"/>
        </w:rPr>
        <w:t xml:space="preserve">. The vector </w:t>
      </w:r>
      <m:oMath>
        <m:r>
          <w:rPr>
            <w:rFonts w:ascii="Cambria Math" w:hAnsi="Cambria Math" w:cs="Times New Roman"/>
          </w:rPr>
          <m:t>N</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e>
        </m:d>
      </m:oMath>
      <w:r w:rsidRPr="004D7AFD">
        <w:rPr>
          <w:rFonts w:cs="Times New Roman"/>
        </w:rPr>
        <w:t xml:space="preserve"> is a multivariate counting process. (2)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taking value </w:t>
      </w:r>
      <m:oMath>
        <m:r>
          <w:rPr>
            <w:rFonts w:ascii="Cambria Math" w:hAnsi="Cambria Math" w:cs="Times New Roman"/>
          </w:rPr>
          <m:t>1</m:t>
        </m:r>
      </m:oMath>
      <w:r w:rsidRPr="004D7AFD">
        <w:rPr>
          <w:rFonts w:cs="Times New Roman"/>
        </w:rPr>
        <w:t xml:space="preserve"> if the individual is at risk at time </w:t>
      </w:r>
      <m:oMath>
        <m:r>
          <w:rPr>
            <w:rFonts w:ascii="Cambria Math" w:hAnsi="Cambria Math" w:cs="Times New Roman"/>
          </w:rPr>
          <m:t>t</m:t>
        </m:r>
      </m:oMath>
      <w:r w:rsidRPr="004D7AFD">
        <w:rPr>
          <w:rFonts w:cs="Times New Roman"/>
        </w:rPr>
        <w:t xml:space="preserve"> for a transition from the transient health state </w:t>
      </w:r>
      <m:oMath>
        <m:r>
          <w:rPr>
            <w:rFonts w:ascii="Cambria Math" w:hAnsi="Cambria Math" w:cs="Times New Roman"/>
          </w:rPr>
          <m:t>h</m:t>
        </m:r>
      </m:oMath>
      <w:r w:rsidRPr="004D7AFD">
        <w:rPr>
          <w:rFonts w:cs="Times New Roman"/>
        </w:rPr>
        <w:t xml:space="preserve"> to another feasible health state, and taking value </w:t>
      </w:r>
      <m:oMath>
        <m:r>
          <w:rPr>
            <w:rFonts w:ascii="Cambria Math" w:hAnsi="Cambria Math" w:cs="Times New Roman"/>
          </w:rPr>
          <m:t>0</m:t>
        </m:r>
      </m:oMath>
      <w:r w:rsidRPr="004D7AFD">
        <w:rPr>
          <w:rFonts w:cs="Times New Roman"/>
        </w:rPr>
        <w:t xml:space="preserve"> otherwise.</w:t>
      </w:r>
    </w:p>
    <w:p w14:paraId="06038E46" w14:textId="77777777" w:rsidR="00697045" w:rsidRPr="004D7AFD" w:rsidRDefault="00000000">
      <w:pPr>
        <w:pStyle w:val="BodyText"/>
        <w:rPr>
          <w:rFonts w:cs="Times New Roman"/>
        </w:rPr>
      </w:pPr>
      <w:r w:rsidRPr="004D7AFD">
        <w:rPr>
          <w:rFonts w:cs="Times New Roman"/>
        </w:rPr>
        <w:t xml:space="preserve">The statistical modeling of the counting process data and its parameterization and statistical inference is generally performed with the </w:t>
      </w:r>
      <w:r w:rsidRPr="004D7AFD">
        <w:rPr>
          <w:rFonts w:cs="Times New Roman"/>
          <w:i/>
          <w:iCs/>
        </w:rPr>
        <w:t>transition intensity functions</w:t>
      </w:r>
      <w:r w:rsidRPr="004D7AFD">
        <w:rPr>
          <w:rFonts w:cs="Times New Roman"/>
        </w:rPr>
        <w:t xml:space="preserve">. I describe it now. Assume that the collection of information sets over time </w:t>
      </w:r>
      <m:oMath>
        <m:r>
          <m:rPr>
            <m:scr m:val="script"/>
            <m:sty m:val="p"/>
          </m:rPr>
          <w:rPr>
            <w:rFonts w:ascii="Cambria Math" w:hAnsi="Cambria Math" w:cs="Times New Roman"/>
          </w:rPr>
          <m:t>F={</m:t>
        </m:r>
        <m:sSub>
          <m:sSubPr>
            <m:ctrlPr>
              <w:rPr>
                <w:rFonts w:ascii="Cambria Math" w:hAnsi="Cambria Math" w:cs="Times New Roman"/>
              </w:rPr>
            </m:ctrlPr>
          </m:sSubPr>
          <m:e>
            <m:r>
              <m:rPr>
                <m:scr m:val="script"/>
                <m:sty m:val="p"/>
              </m:rPr>
              <w:rPr>
                <w:rFonts w:ascii="Cambria Math" w:hAnsi="Cambria Math" w:cs="Times New Roman"/>
              </w:rPr>
              <m:t>F</m:t>
            </m:r>
          </m:e>
          <m:sub>
            <m:r>
              <w:rPr>
                <w:rFonts w:ascii="Cambria Math" w:hAnsi="Cambria Math" w:cs="Times New Roman"/>
              </w:rPr>
              <m:t>t</m:t>
            </m:r>
          </m:sub>
        </m:sSub>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sub>
        </m:sSub>
      </m:oMath>
      <w:r w:rsidRPr="004D7AFD">
        <w:rPr>
          <w:rFonts w:cs="Times New Roman"/>
        </w:rPr>
        <w:t xml:space="preserve">, known as a </w:t>
      </w:r>
      <w:r w:rsidRPr="004D7AFD">
        <w:rPr>
          <w:rFonts w:cs="Times New Roman"/>
          <w:i/>
          <w:iCs/>
        </w:rPr>
        <w:t>filtration</w:t>
      </w:r>
      <w:r w:rsidRPr="004D7AFD">
        <w:rPr>
          <w:rFonts w:cs="Times New Roman"/>
        </w:rPr>
        <w:t xml:space="preserve">, is right continuous. Note that by construction, each component counting process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is adapted to the filtration </w:t>
      </w:r>
      <m:oMath>
        <m:r>
          <m:rPr>
            <m:scr m:val="script"/>
            <m:sty m:val="p"/>
          </m:rPr>
          <w:rPr>
            <w:rFonts w:ascii="Cambria Math" w:hAnsi="Cambria Math" w:cs="Times New Roman"/>
          </w:rPr>
          <m:t>F</m:t>
        </m:r>
      </m:oMath>
      <w:r w:rsidRPr="004D7AFD">
        <w:rPr>
          <w:rFonts w:cs="Times New Roman"/>
        </w:rPr>
        <w:t xml:space="preserve">, meaning one can observe the value of the counting process at time </w:t>
      </w:r>
      <m:oMath>
        <m:r>
          <w:rPr>
            <w:rFonts w:ascii="Cambria Math" w:hAnsi="Cambria Math" w:cs="Times New Roman"/>
          </w:rPr>
          <m:t>t</m:t>
        </m:r>
      </m:oMath>
      <w:r w:rsidRPr="004D7AFD">
        <w:rPr>
          <w:rFonts w:cs="Times New Roman"/>
        </w:rPr>
        <w:t>. The Doob-Meyer decomposition theorem asserts that the counting process can be uniquely decomposed into</w:t>
      </w:r>
    </w:p>
    <w:p w14:paraId="5175D6B7" w14:textId="77777777" w:rsidR="00697045" w:rsidRPr="004D7AFD" w:rsidRDefault="00000000">
      <w:pPr>
        <w:pStyle w:val="BodyText"/>
        <w:rPr>
          <w:rFonts w:cs="Times New Roman"/>
        </w:rPr>
      </w:pPr>
      <w:r w:rsidRPr="004D7AFD">
        <w:rPr>
          <w:rFonts w:cs="Times New Roman"/>
        </w:rPr>
        <w:t>$$ N_{hj}(t) = A_{hj}(t)+ M_{hj}(t) \textit{ a.e.}\\ \text{i.e., data}=\text{model}+\text{error}, $$</w:t>
      </w:r>
    </w:p>
    <w:p w14:paraId="30BB08AB" w14:textId="77777777" w:rsidR="00697045" w:rsidRPr="004D7AFD" w:rsidRDefault="00000000">
      <w:pPr>
        <w:pStyle w:val="FirstParagraph"/>
        <w:rPr>
          <w:rFonts w:cs="Times New Roman"/>
        </w:rPr>
      </w:pPr>
      <w:r w:rsidRPr="004D7AFD">
        <w:rPr>
          <w:rFonts w:cs="Times New Roman"/>
        </w:rPr>
        <w:t xml:space="preserve">where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is an increasing right-continuous predictable process, known as the </w:t>
      </w:r>
      <w:r w:rsidRPr="004D7AFD">
        <w:rPr>
          <w:rFonts w:cs="Times New Roman"/>
          <w:i/>
          <w:iCs/>
        </w:rPr>
        <w:t>compensator</w:t>
      </w:r>
      <w:r w:rsidRPr="004D7AFD">
        <w:rPr>
          <w:rFonts w:cs="Times New Roman"/>
        </w:rPr>
        <w:t xml:space="preserve"> of the counting process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is a mean-zero martingale. Note that when it exists,</w:t>
      </w:r>
    </w:p>
    <w:p w14:paraId="124847F7" w14:textId="77777777" w:rsidR="00697045" w:rsidRPr="004D7AFD" w:rsidRDefault="00000000">
      <w:pPr>
        <w:pStyle w:val="BodyText"/>
        <w:rPr>
          <w:rFonts w:cs="Times New Roman"/>
        </w:rPr>
      </w:pPr>
      <w:bookmarkStart w:id="4" w:name="eq-eq2"/>
      <m:oMathPara>
        <m:oMathParaPr>
          <m:jc m:val="center"/>
        </m:oMathParaPr>
        <m:oMath>
          <m:r>
            <w:rPr>
              <w:rFonts w:ascii="Cambria Math" w:hAnsi="Cambria Math" w:cs="Times New Roman"/>
            </w:rPr>
            <m:t>E</m:t>
          </m:r>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F</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2</m:t>
              </m:r>
            </m:e>
          </m:d>
        </m:oMath>
      </m:oMathPara>
      <w:bookmarkEnd w:id="4"/>
    </w:p>
    <w:p w14:paraId="79FD78E9" w14:textId="77777777" w:rsidR="00697045" w:rsidRPr="004D7AFD" w:rsidRDefault="00000000">
      <w:pPr>
        <w:pStyle w:val="FirstParagraph"/>
        <w:rPr>
          <w:rFonts w:cs="Times New Roman"/>
        </w:rPr>
      </w:pPr>
      <w:r w:rsidRPr="004D7AFD">
        <w:rPr>
          <w:rFonts w:cs="Times New Roman"/>
        </w:rPr>
        <w:t xml:space="preserve">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is a function of the history up to time </w:t>
      </w:r>
      <m:oMath>
        <m:r>
          <w:rPr>
            <w:rFonts w:ascii="Cambria Math" w:hAnsi="Cambria Math" w:cs="Times New Roman"/>
          </w:rPr>
          <m:t>t</m:t>
        </m:r>
      </m:oMath>
      <w:r w:rsidRPr="004D7AFD">
        <w:rPr>
          <w:rFonts w:cs="Times New Roman"/>
        </w:rPr>
        <w:t xml:space="preserve">, and is thus stochastic. I will denote this dependence as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sub>
            </m:sSub>
          </m:e>
        </m:d>
      </m:oMath>
      <w:r w:rsidRPr="004D7AFD">
        <w:rPr>
          <w:rFonts w:cs="Times New Roman"/>
        </w:rPr>
        <w:t xml:space="preserve"> The process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is known as the </w:t>
      </w:r>
      <w:r w:rsidRPr="004D7AFD">
        <w:rPr>
          <w:rFonts w:cs="Times New Roman"/>
          <w:i/>
          <w:iCs/>
        </w:rPr>
        <w:t>transition intensity process</w:t>
      </w:r>
      <w:r w:rsidRPr="004D7AFD">
        <w:rPr>
          <w:rFonts w:cs="Times New Roman"/>
        </w:rPr>
        <w:t xml:space="preserve"> of the counting process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w:t>
      </w:r>
    </w:p>
    <w:p w14:paraId="0C148CF7" w14:textId="77777777" w:rsidR="00697045" w:rsidRPr="004D7AFD" w:rsidRDefault="00000000">
      <w:pPr>
        <w:pStyle w:val="BodyText"/>
        <w:rPr>
          <w:rFonts w:cs="Times New Roman"/>
        </w:rPr>
      </w:pPr>
      <w:r w:rsidRPr="004D7AFD">
        <w:rPr>
          <w:rFonts w:cs="Times New Roman"/>
        </w:rPr>
        <w:t xml:space="preserve">The transition intensity process </w:t>
      </w:r>
      <w:hyperlink w:anchor="eq-eq2">
        <w:r w:rsidRPr="004D7AFD">
          <w:rPr>
            <w:rStyle w:val="Hyperlink"/>
            <w:rFonts w:cs="Times New Roman"/>
          </w:rPr>
          <w:t>Equation 2</w:t>
        </w:r>
      </w:hyperlink>
      <w:r w:rsidRPr="004D7AFD">
        <w:rPr>
          <w:rFonts w:cs="Times New Roman"/>
        </w:rPr>
        <w:t xml:space="preserve"> is related to the notion of intensity function of the original finite state stochastic process </w:t>
      </w:r>
      <m:oMath>
        <m:r>
          <w:rPr>
            <w:rFonts w:ascii="Cambria Math" w:hAnsi="Cambria Math" w:cs="Times New Roman"/>
          </w:rPr>
          <m:t>Z</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by</w:t>
      </w:r>
    </w:p>
    <w:p w14:paraId="0B709F33" w14:textId="77777777" w:rsidR="00697045" w:rsidRPr="004D7AFD" w:rsidRDefault="00000000">
      <w:pPr>
        <w:pStyle w:val="BodyText"/>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sub>
              </m:sSub>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lim</m:t>
              </m:r>
            </m:e>
            <m:lim>
              <m:r>
                <w:rPr>
                  <w:rFonts w:ascii="Cambria Math" w:hAnsi="Cambria Math" w:cs="Times New Roman"/>
                </w:rPr>
                <m:t>Δt</m:t>
              </m:r>
              <m:r>
                <m:rPr>
                  <m:sty m:val="p"/>
                </m:rPr>
                <w:rPr>
                  <w:rFonts w:ascii="Cambria Math" w:hAnsi="Cambria Math" w:cs="Times New Roman"/>
                </w:rPr>
                <m:t>↓</m:t>
              </m:r>
              <m:r>
                <w:rPr>
                  <w:rFonts w:ascii="Cambria Math" w:hAnsi="Cambria Math" w:cs="Times New Roman"/>
                </w:rPr>
                <m:t>0</m:t>
              </m:r>
            </m:lim>
          </m:limLow>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Δt</m:t>
                      </m:r>
                    </m:e>
                  </m:d>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Z</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e>
                  </m:d>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sub>
                  </m:sSub>
                </m:e>
              </m:d>
            </m:num>
            <m:den>
              <m:r>
                <w:rPr>
                  <w:rFonts w:ascii="Cambria Math" w:hAnsi="Cambria Math" w:cs="Times New Roman"/>
                </w:rPr>
                <m:t>Δt</m:t>
              </m:r>
            </m:den>
          </m:f>
          <m:r>
            <m:rPr>
              <m:sty m:val="p"/>
            </m:rPr>
            <w:rPr>
              <w:rFonts w:ascii="Cambria Math" w:hAnsi="Cambria Math" w:cs="Times New Roman"/>
            </w:rPr>
            <m:t>,</m:t>
          </m:r>
          <m:r>
            <m:rPr>
              <m:nor/>
            </m:rPr>
            <w:rPr>
              <w:rFonts w:cs="Times New Roman"/>
            </w:rPr>
            <m:t xml:space="preserve"> for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oMath>
      </m:oMathPara>
    </w:p>
    <w:p w14:paraId="7A98153B" w14:textId="77777777" w:rsidR="00697045" w:rsidRPr="004D7AFD" w:rsidRDefault="00000000">
      <w:pPr>
        <w:pStyle w:val="FirstParagraph"/>
        <w:rPr>
          <w:rFonts w:cs="Times New Roman"/>
        </w:rPr>
      </w:pPr>
      <w:r w:rsidRPr="004D7AFD">
        <w:rPr>
          <w:rFonts w:cs="Times New Roman"/>
        </w:rPr>
        <w:t xml:space="preserve">For the survival model (i.e., a two-state alive-dead model) with hazard function </w:t>
      </w:r>
      <m:oMath>
        <m:r>
          <w:rPr>
            <w:rFonts w:ascii="Cambria Math" w:hAnsi="Cambria Math" w:cs="Times New Roman"/>
          </w:rPr>
          <m:t>α</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a deterministic function of </w:t>
      </w:r>
      <m:oMath>
        <m:r>
          <w:rPr>
            <w:rFonts w:ascii="Cambria Math" w:hAnsi="Cambria Math" w:cs="Times New Roman"/>
          </w:rPr>
          <m:t>t</m:t>
        </m:r>
      </m:oMath>
      <w:r w:rsidRPr="004D7AFD">
        <w:rPr>
          <w:rFonts w:cs="Times New Roman"/>
        </w:rPr>
        <w:t xml:space="preserve">, it can be shown that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Y</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α</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This type of intensity process is known as the </w:t>
      </w:r>
      <w:r w:rsidRPr="004D7AFD">
        <w:rPr>
          <w:rFonts w:cs="Times New Roman"/>
          <w:i/>
          <w:iCs/>
        </w:rPr>
        <w:t>multiplicative intensity process</w:t>
      </w:r>
      <w:r w:rsidRPr="004D7AFD">
        <w:rPr>
          <w:rFonts w:cs="Times New Roman"/>
        </w:rPr>
        <w:t xml:space="preserve">. In this paper I assume that each component of the multivariate counting process </w:t>
      </w:r>
      <m:oMath>
        <m:r>
          <w:rPr>
            <w:rFonts w:ascii="Cambria Math" w:hAnsi="Cambria Math" w:cs="Times New Roman"/>
          </w:rPr>
          <m:t>N</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has a multiplicative intensity process.</w:t>
      </w:r>
    </w:p>
    <w:p w14:paraId="377370FE" w14:textId="77777777" w:rsidR="00697045" w:rsidRPr="004D7AFD" w:rsidRDefault="00000000">
      <w:pPr>
        <w:pStyle w:val="BodyText"/>
        <w:rPr>
          <w:rFonts w:cs="Times New Roman"/>
        </w:rPr>
      </w:pPr>
      <w:r w:rsidRPr="004D7AFD">
        <w:rPr>
          <w:rFonts w:cs="Times New Roman"/>
        </w:rPr>
        <w:t xml:space="preserve">Denote the matrix of transition intensities by </w:t>
      </w:r>
      <m:oMath>
        <m:r>
          <w:rPr>
            <w:rFonts w:ascii="Cambria Math" w:hAnsi="Cambria Math" w:cs="Times New Roman"/>
          </w:rPr>
          <m:t>Γ</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sub>
            </m:sSub>
          </m:e>
        </m:d>
        <m:r>
          <m:rPr>
            <m:sty m:val="p"/>
          </m:rPr>
          <w:rPr>
            <w:rFonts w:ascii="Cambria Math" w:hAnsi="Cambria Math" w:cs="Times New Roman"/>
          </w:rPr>
          <m:t>=</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ij</m:t>
                    </m:r>
                  </m:sub>
                </m:sSub>
                <m:r>
                  <m:rPr>
                    <m:sty m:val="p"/>
                  </m:rPr>
                  <w:rPr>
                    <w:rFonts w:ascii="Cambria Math" w:hAnsi="Cambria Math" w:cs="Times New Roman"/>
                  </w:rPr>
                  <m:t>(</m:t>
                </m:r>
                <m:r>
                  <w:rPr>
                    <w:rFonts w:ascii="Cambria Math" w:hAnsi="Cambria Math" w:cs="Times New Roman"/>
                  </w:rPr>
                  <m:t>t</m:t>
                </m:r>
                <m:r>
                  <m:rPr>
                    <m:scr m:val="script"/>
                    <m:sty m:val="p"/>
                  </m:rPr>
                  <w:rPr>
                    <w:rFonts w:ascii="Cambria Math" w:hAnsi="Cambria Math" w:cs="Times New Roman"/>
                  </w:rPr>
                  <m:t>;H</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m:t>
                        </m:r>
                      </m:sup>
                    </m:sSup>
                  </m:e>
                </m:d>
              </m:e>
            </m:d>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sub>
        </m:sSub>
      </m:oMath>
      <w:r w:rsidRPr="004D7AFD">
        <w:rPr>
          <w:rFonts w:cs="Times New Roman"/>
        </w:rPr>
        <w:t xml:space="preserve"> and the matrix of transition probabilities by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s</m:t>
                        </m:r>
                      </m:sub>
                    </m:sSub>
                  </m:e>
                </m:d>
              </m:e>
            </m:d>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.4</m:t>
            </m:r>
          </m:sub>
        </m:sSub>
      </m:oMath>
      <w:r w:rsidRPr="004D7AFD">
        <w:rPr>
          <w:rFonts w:cs="Times New Roman"/>
        </w:rPr>
        <w:t xml:space="preserve">. For ease of presentation, I suppress the conditioning variable </w:t>
      </w:r>
      <m:oMath>
        <m:sSub>
          <m:sSubPr>
            <m:ctrlPr>
              <w:rPr>
                <w:rFonts w:ascii="Cambria Math" w:hAnsi="Cambria Math" w:cs="Times New Roman"/>
              </w:rPr>
            </m:ctrlPr>
          </m:sSubPr>
          <m:e>
            <m:r>
              <m:rPr>
                <m:scr m:val="script"/>
                <m:sty m:val="p"/>
              </m:rPr>
              <w:rPr>
                <w:rFonts w:ascii="Cambria Math" w:hAnsi="Cambria Math" w:cs="Times New Roman"/>
              </w:rPr>
              <m:t>H</m:t>
            </m:r>
          </m:e>
          <m:sub>
            <m:r>
              <w:rPr>
                <w:rFonts w:ascii="Cambria Math" w:hAnsi="Cambria Math" w:cs="Times New Roman"/>
              </w:rPr>
              <m:t>t</m:t>
            </m:r>
          </m:sub>
        </m:sSub>
        <m:r>
          <m:rPr>
            <m:sty m:val="p"/>
          </m:rPr>
          <w:rPr>
            <w:rFonts w:ascii="Cambria Math" w:hAnsi="Cambria Math" w:cs="Times New Roman"/>
          </w:rPr>
          <m:t>)</m:t>
        </m:r>
      </m:oMath>
      <w:r w:rsidRPr="004D7AFD">
        <w:rPr>
          <w:rFonts w:cs="Times New Roman"/>
        </w:rPr>
        <w:t>.</w:t>
      </w:r>
    </w:p>
    <w:p w14:paraId="62C2A427" w14:textId="77777777" w:rsidR="00697045" w:rsidRPr="004D7AFD" w:rsidRDefault="00000000">
      <w:pPr>
        <w:pStyle w:val="BodyText"/>
        <w:rPr>
          <w:rFonts w:cs="Times New Roman"/>
        </w:rPr>
      </w:pPr>
      <w:r w:rsidRPr="004D7AFD">
        <w:rPr>
          <w:rFonts w:cs="Times New Roman"/>
        </w:rPr>
        <w:t>Given that the stochastic health evolution process is parameterized for statistical inference in terms of transition intensities, it is important to know how to get the transition probabilities from the transition intensities? Under some mild assumptions on the transition intensity processes, this is accomplished using the notions of integrated transition intensity and product integration as follows:</w:t>
      </w:r>
    </w:p>
    <w:p w14:paraId="60204AE0" w14:textId="77777777" w:rsidR="00697045" w:rsidRPr="004D7AFD" w:rsidRDefault="00000000">
      <w:pPr>
        <w:pStyle w:val="BodyText"/>
        <w:rPr>
          <w:rFonts w:cs="Times New Roman"/>
        </w:rPr>
      </w:pPr>
      <w:r w:rsidRPr="004D7AFD">
        <w:rPr>
          <w:rFonts w:cs="Times New Roman"/>
        </w:rPr>
        <w:t xml:space="preserve">For a transition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oMath>
      <w:r w:rsidRPr="004D7AFD">
        <w:rPr>
          <w:rFonts w:cs="Times New Roman"/>
        </w:rPr>
        <w:t xml:space="preserve">, define the </w:t>
      </w:r>
      <w:r w:rsidRPr="004D7AFD">
        <w:rPr>
          <w:rFonts w:cs="Times New Roman"/>
          <w:i/>
          <w:iCs/>
        </w:rPr>
        <w:t>integrated transition intensity</w:t>
      </w:r>
      <w:r w:rsidRPr="004D7AFD">
        <w:rPr>
          <w:rFonts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e>
        </m:nary>
        <m:d>
          <m:dPr>
            <m:ctrlPr>
              <w:rPr>
                <w:rFonts w:ascii="Cambria Math" w:hAnsi="Cambria Math" w:cs="Times New Roman"/>
              </w:rPr>
            </m:ctrlPr>
          </m:dPr>
          <m:e>
            <m:r>
              <w:rPr>
                <w:rFonts w:ascii="Cambria Math" w:hAnsi="Cambria Math" w:cs="Times New Roman"/>
              </w:rPr>
              <m:t>u</m:t>
            </m:r>
          </m:e>
        </m:d>
        <m:r>
          <w:rPr>
            <w:rFonts w:ascii="Cambria Math" w:hAnsi="Cambria Math" w:cs="Times New Roman"/>
          </w:rPr>
          <m:t>du</m:t>
        </m:r>
      </m:oMath>
      <w:r w:rsidRPr="004D7AFD">
        <w:rPr>
          <w:rFonts w:cs="Times New Roman"/>
        </w:rPr>
        <w:t xml:space="preserve"> and the matrix function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e>
            </m:d>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sub>
        </m:sSub>
      </m:oMath>
      <w:r w:rsidRPr="004D7AFD">
        <w:rPr>
          <w:rFonts w:cs="Times New Roman"/>
        </w:rPr>
        <w:t xml:space="preserve">. Let a time interval </w:t>
      </w:r>
      <m:oMath>
        <m:d>
          <m:dPr>
            <m:begChr m:val="["/>
            <m:endChr m:val="]"/>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oMath>
      <w:r w:rsidRPr="004D7AFD">
        <w:rPr>
          <w:rFonts w:cs="Times New Roman"/>
        </w:rPr>
        <w:t xml:space="preserve"> be subdivided into a partition of </w:t>
      </w:r>
      <m:oMath>
        <m:r>
          <w:rPr>
            <w:rFonts w:ascii="Cambria Math" w:hAnsi="Cambria Math" w:cs="Times New Roman"/>
          </w:rPr>
          <m:t>m</m:t>
        </m:r>
      </m:oMath>
      <w:r w:rsidRPr="004D7AFD">
        <w:rPr>
          <w:rFonts w:cs="Times New Roman"/>
        </w:rPr>
        <w:t xml:space="preserve"> sub-intervals with cut-off points </w:t>
      </w:r>
      <m:oMath>
        <m: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m:rPr>
            <m:sty m:val="p"/>
          </m:rPr>
          <w:rPr>
            <w:rFonts w:ascii="Cambria Math" w:hAnsi="Cambria Math" w:cs="Times New Roman"/>
          </w:rPr>
          <m:t>&lt;...&lt;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m:t>
            </m:r>
          </m:sub>
        </m:sSub>
        <m:r>
          <m:rPr>
            <m:sty m:val="p"/>
          </m:rPr>
          <w:rPr>
            <w:rFonts w:ascii="Cambria Math" w:hAnsi="Cambria Math" w:cs="Times New Roman"/>
          </w:rPr>
          <m:t>=</m:t>
        </m:r>
        <m:r>
          <w:rPr>
            <w:rFonts w:ascii="Cambria Math" w:hAnsi="Cambria Math" w:cs="Times New Roman"/>
          </w:rPr>
          <m:t>t</m:t>
        </m:r>
      </m:oMath>
      <w:r w:rsidRPr="004D7AFD">
        <w:rPr>
          <w:rFonts w:cs="Times New Roman"/>
        </w:rPr>
        <w:t>. It can be shown that</w:t>
      </w:r>
    </w:p>
    <w:p w14:paraId="51E563FE" w14:textId="77777777" w:rsidR="00697045" w:rsidRPr="004D7AFD" w:rsidRDefault="00000000">
      <w:pPr>
        <w:pStyle w:val="BodyText"/>
        <w:rPr>
          <w:rFonts w:cs="Times New Roman"/>
        </w:rPr>
      </w:pPr>
      <w:bookmarkStart w:id="5" w:name="eq-eq6"/>
      <m:oMathPara>
        <m:oMathParaPr>
          <m:jc m:val="center"/>
        </m:oMathParaP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dΛ</m:t>
              </m:r>
              <m:d>
                <m:dPr>
                  <m:ctrlPr>
                    <w:rPr>
                      <w:rFonts w:ascii="Cambria Math" w:hAnsi="Cambria Math" w:cs="Times New Roman"/>
                    </w:rPr>
                  </m:ctrlPr>
                </m:dPr>
                <m:e>
                  <m:r>
                    <w:rPr>
                      <w:rFonts w:ascii="Cambria Math" w:hAnsi="Cambria Math" w:cs="Times New Roman"/>
                    </w:rPr>
                    <m:t>u</m:t>
                  </m:r>
                </m:e>
              </m:d>
            </m:e>
          </m:d>
          <m:limUpp>
            <m:limUppPr>
              <m:ctrlPr>
                <w:rPr>
                  <w:rFonts w:ascii="Cambria Math" w:hAnsi="Cambria Math" w:cs="Times New Roman"/>
                </w:rPr>
              </m:ctrlPr>
            </m:limUppPr>
            <m:e>
              <m:r>
                <m:rPr>
                  <m:sty m:val="p"/>
                </m:rPr>
                <w:rPr>
                  <w:rFonts w:ascii="Cambria Math" w:hAnsi="Cambria Math" w:cs="Times New Roman"/>
                </w:rPr>
                <m:t>≡</m:t>
              </m:r>
            </m:e>
            <m:lim>
              <m:r>
                <w:rPr>
                  <w:rFonts w:ascii="Cambria Math" w:hAnsi="Cambria Math" w:cs="Times New Roman"/>
                </w:rPr>
                <m:t>def</m:t>
              </m:r>
            </m:lim>
          </m:limUpp>
          <m:limLow>
            <m:limLowPr>
              <m:ctrlPr>
                <w:rPr>
                  <w:rFonts w:ascii="Cambria Math" w:hAnsi="Cambria Math" w:cs="Times New Roman"/>
                </w:rPr>
              </m:ctrlPr>
            </m:limLowPr>
            <m:e>
              <m:r>
                <m:rPr>
                  <m:sty m:val="p"/>
                </m:rPr>
                <w:rPr>
                  <w:rFonts w:ascii="Cambria Math" w:hAnsi="Cambria Math" w:cs="Times New Roman"/>
                </w:rPr>
                <m:t>lim</m:t>
              </m:r>
            </m:e>
            <m:lim>
              <m:limLow>
                <m:limLowPr>
                  <m:ctrlPr>
                    <w:rPr>
                      <w:rFonts w:ascii="Cambria Math" w:hAnsi="Cambria Math" w:cs="Times New Roman"/>
                    </w:rPr>
                  </m:ctrlPr>
                </m:limLowPr>
                <m:e>
                  <m:r>
                    <m:rPr>
                      <m:nor/>
                    </m:rPr>
                    <w:rPr>
                      <w:rFonts w:cs="Times New Roman"/>
                    </w:rPr>
                    <m:t xml:space="preserve">as </m:t>
                  </m:r>
                  <m:r>
                    <w:rPr>
                      <w:rFonts w:ascii="Cambria Math" w:hAnsi="Cambria Math" w:cs="Times New Roman"/>
                    </w:rPr>
                    <m:t>m</m:t>
                  </m:r>
                  <m:r>
                    <m:rPr>
                      <m:sty m:val="p"/>
                    </m:rPr>
                    <w:rPr>
                      <w:rFonts w:ascii="Cambria Math" w:hAnsi="Cambria Math" w:cs="Times New Roman"/>
                    </w:rPr>
                    <m:t>→∞</m:t>
                  </m:r>
                </m:e>
                <m:lim>
                  <m:r>
                    <m:rPr>
                      <m:sty m:val="p"/>
                    </m:rPr>
                    <w:rPr>
                      <w:rFonts w:ascii="Cambria Math" w:hAnsi="Cambria Math" w:cs="Times New Roman"/>
                    </w:rPr>
                    <m:t>max</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lim>
              </m:limLow>
            </m:lim>
          </m:limLow>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Sub>
                </m:e>
              </m:d>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3</m:t>
              </m:r>
            </m:e>
          </m:d>
        </m:oMath>
      </m:oMathPara>
      <w:bookmarkEnd w:id="5"/>
    </w:p>
    <w:p w14:paraId="6839E156" w14:textId="77777777" w:rsidR="00697045" w:rsidRPr="004D7AFD" w:rsidRDefault="00000000">
      <w:pPr>
        <w:pStyle w:val="FirstParagraph"/>
        <w:rPr>
          <w:rFonts w:cs="Times New Roman"/>
        </w:rPr>
      </w:pPr>
      <w:r w:rsidRPr="004D7AFD">
        <w:rPr>
          <w:rFonts w:cs="Times New Roman"/>
        </w:rPr>
        <w:t xml:space="preserve">The entity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dΛ</m:t>
            </m:r>
            <m:d>
              <m:dPr>
                <m:ctrlPr>
                  <w:rPr>
                    <w:rFonts w:ascii="Cambria Math" w:hAnsi="Cambria Math" w:cs="Times New Roman"/>
                  </w:rPr>
                </m:ctrlPr>
              </m:dPr>
              <m:e>
                <m:r>
                  <w:rPr>
                    <w:rFonts w:ascii="Cambria Math" w:hAnsi="Cambria Math" w:cs="Times New Roman"/>
                  </w:rPr>
                  <m:t>u</m:t>
                </m:r>
              </m:e>
            </m:d>
          </m:e>
        </m:d>
      </m:oMath>
      <w:r w:rsidRPr="004D7AFD">
        <w:rPr>
          <w:rFonts w:cs="Times New Roman"/>
        </w:rPr>
        <w:t xml:space="preserve"> defined above is known as the </w:t>
      </w:r>
      <w:r w:rsidRPr="004D7AFD">
        <w:rPr>
          <w:rFonts w:cs="Times New Roman"/>
          <w:i/>
          <w:iCs/>
        </w:rPr>
        <w:t>product integral of the matrix function</w:t>
      </w:r>
      <w:r w:rsidRPr="004D7AFD">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u</m:t>
            </m:r>
          </m:e>
        </m:d>
      </m:oMath>
      <w:r w:rsidRPr="004D7AFD">
        <w:rPr>
          <w:rFonts w:cs="Times New Roman"/>
        </w:rPr>
        <w:t>.</w:t>
      </w:r>
    </w:p>
    <w:p w14:paraId="0F8686D3" w14:textId="77777777" w:rsidR="00697045" w:rsidRPr="004D7AFD" w:rsidRDefault="00000000">
      <w:pPr>
        <w:pStyle w:val="BodyText"/>
        <w:rPr>
          <w:rFonts w:cs="Times New Roman"/>
        </w:rPr>
      </w:pPr>
      <w:r w:rsidRPr="004D7AFD">
        <w:rPr>
          <w:rFonts w:cs="Times New Roman"/>
        </w:rPr>
        <w:t>The likelihood of the sample is given by,</w:t>
      </w:r>
      <w:r w:rsidRPr="004D7AFD">
        <w:rPr>
          <w:rStyle w:val="FootnoteReference"/>
          <w:rFonts w:cs="Times New Roman"/>
        </w:rPr>
        <w:footnoteReference w:id="5"/>
      </w:r>
    </w:p>
    <w:bookmarkStart w:id="6" w:name="eq-eqL"/>
    <w:p w14:paraId="36EEF351" w14:textId="77777777" w:rsidR="00697045" w:rsidRPr="004D7AFD" w:rsidRDefault="00000000">
      <w:pPr>
        <w:pStyle w:val="BodyText"/>
        <w:rPr>
          <w:rFonts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L</m:t>
                </m:r>
                <m:d>
                  <m:dPr>
                    <m:ctrlPr>
                      <w:rPr>
                        <w:rFonts w:ascii="Cambria Math" w:hAnsi="Cambria Math" w:cs="Times New Roman"/>
                      </w:rPr>
                    </m:ctrlPr>
                  </m:dPr>
                  <m:e>
                    <m:r>
                      <w:rPr>
                        <w:rFonts w:ascii="Cambria Math" w:hAnsi="Cambria Math" w:cs="Times New Roman"/>
                      </w:rPr>
                      <m:t>θ</m:t>
                    </m:r>
                  </m:e>
                </m:d>
              </m:e>
              <m:e>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m:t>
                    </m:r>
                  </m:sup>
                  <m:e>
                    <m:nary>
                      <m:naryPr>
                        <m:chr m:val="∏"/>
                        <m:limLoc m:val="undOvr"/>
                        <m:supHide m:val="1"/>
                        <m:ctrlPr>
                          <w:rPr>
                            <w:rFonts w:ascii="Cambria Math" w:hAnsi="Cambria Math" w:cs="Times New Roman"/>
                          </w:rPr>
                        </m:ctrlPr>
                      </m:naryPr>
                      <m:sub>
                        <m:limLow>
                          <m:limLowPr>
                            <m:ctrlPr>
                              <w:rPr>
                                <w:rFonts w:ascii="Cambria Math" w:hAnsi="Cambria Math" w:cs="Times New Roman"/>
                              </w:rPr>
                            </m:ctrlPr>
                          </m:limLowPr>
                          <m:e>
                            <m:d>
                              <m:dPr>
                                <m:ctrlPr>
                                  <w:rPr>
                                    <w:rFonts w:ascii="Cambria Math" w:hAnsi="Cambria Math" w:cs="Times New Roman"/>
                                  </w:rPr>
                                </m:ctrlPr>
                              </m:dPr>
                              <m:e>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e>
                            </m:d>
                          </m:e>
                          <m:lim>
                            <m:r>
                              <w:rPr>
                                <w:rFonts w:ascii="Cambria Math" w:hAnsi="Cambria Math" w:cs="Times New Roman"/>
                              </w:rPr>
                              <m:t>j</m:t>
                            </m:r>
                            <m:r>
                              <m:rPr>
                                <m:sty m:val="p"/>
                              </m:rPr>
                              <w:rPr>
                                <w:rFonts w:ascii="Cambria Math" w:hAnsi="Cambria Math" w:cs="Times New Roman"/>
                              </w:rPr>
                              <m:t>≠</m:t>
                            </m:r>
                            <m:r>
                              <w:rPr>
                                <w:rFonts w:ascii="Cambria Math" w:hAnsi="Cambria Math" w:cs="Times New Roman"/>
                              </w:rPr>
                              <m:t>h</m:t>
                            </m:r>
                          </m:lim>
                        </m:limLow>
                        <m:r>
                          <m:rPr>
                            <m:sty m:val="p"/>
                          </m:rPr>
                          <w:rPr>
                            <w:rFonts w:ascii="Cambria Math" w:hAnsi="Cambria Math" w:cs="Times New Roman"/>
                          </w:rPr>
                          <m:t>:</m:t>
                        </m:r>
                        <m:r>
                          <w:rPr>
                            <w:rFonts w:ascii="Cambria Math" w:hAnsi="Cambria Math" w:cs="Times New Roman"/>
                          </w:rPr>
                          <m:t> </m:t>
                        </m:r>
                        <m:limLow>
                          <m:limLowPr>
                            <m:ctrlPr>
                              <w:rPr>
                                <w:rFonts w:ascii="Cambria Math" w:hAnsi="Cambria Math" w:cs="Times New Roman"/>
                              </w:rPr>
                            </m:ctrlPr>
                          </m:limLowPr>
                          <m:e>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e>
                          <m:lim>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lim>
                        </m:limLow>
                      </m:sub>
                      <m:sup>
                        <m:r>
                          <w:rPr>
                            <w:rFonts w:ascii="Cambria Math" w:hAnsi="Cambria Math" w:cs="Times New Roman"/>
                          </w:rPr>
                          <m:t>​</m:t>
                        </m:r>
                      </m:sup>
                      <m:e>
                        <m:d>
                          <m:dPr>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r>
                                      <m:rPr>
                                        <m:sty m:val="p"/>
                                      </m:rPr>
                                      <w:rPr>
                                        <w:rFonts w:ascii="Cambria Math" w:hAnsi="Cambria Math" w:cs="Times New Roman"/>
                                      </w:rPr>
                                      <m:t>,</m:t>
                                    </m:r>
                                    <m:r>
                                      <w:rPr>
                                        <w:rFonts w:ascii="Cambria Math" w:hAnsi="Cambria Math" w:cs="Times New Roman"/>
                                      </w:rPr>
                                      <m:t>i</m:t>
                                    </m:r>
                                  </m:sub>
                                </m:sSub>
                              </m:e>
                            </m:nary>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e>
                                </m:d>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sup>
                            </m:sSup>
                          </m:e>
                        </m:d>
                      </m:e>
                    </m:nary>
                  </m:e>
                </m:nary>
                <m:r>
                  <m:rPr>
                    <m:sty m:val="p"/>
                  </m:rPr>
                  <w:rPr>
                    <w:rFonts w:ascii="Cambria Math" w:hAnsi="Cambria Math" w:cs="Times New Roman"/>
                  </w:rPr>
                  <m:t>×</m:t>
                </m:r>
              </m:e>
            </m:mr>
            <m:mr>
              <m:e/>
              <m:e>
                <m:r>
                  <m:rPr>
                    <m:sty m:val="p"/>
                  </m:rP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nary>
                      <m:naryPr>
                        <m:limLoc m:val="subSup"/>
                        <m:ctrlPr>
                          <w:rPr>
                            <w:rFonts w:ascii="Cambria Math" w:hAnsi="Cambria Math" w:cs="Times New Roman"/>
                          </w:rPr>
                        </m:ctrlPr>
                      </m:naryPr>
                      <m:sub>
                        <m:r>
                          <w:rPr>
                            <w:rFonts w:ascii="Cambria Math" w:hAnsi="Cambria Math" w:cs="Times New Roman"/>
                          </w:rPr>
                          <m:t>0</m:t>
                        </m:r>
                      </m:sub>
                      <m:sup>
                        <m:sSubSup>
                          <m:sSubSupPr>
                            <m:ctrlPr>
                              <w:rPr>
                                <w:rFonts w:ascii="Cambria Math" w:hAnsi="Cambria Math" w:cs="Times New Roman"/>
                              </w:rPr>
                            </m:ctrlPr>
                          </m:sSubSupPr>
                          <m:e>
                            <m:r>
                              <w:rPr>
                                <w:rFonts w:ascii="Cambria Math" w:hAnsi="Cambria Math" w:cs="Times New Roman"/>
                              </w:rPr>
                              <m:t>T</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up>
                            <m:r>
                              <m:rPr>
                                <m:sty m:val="p"/>
                              </m:rPr>
                              <w:rPr>
                                <w:rFonts w:ascii="Cambria Math" w:hAnsi="Cambria Math" w:cs="Times New Roman"/>
                              </w:rPr>
                              <m:t>*</m:t>
                            </m:r>
                          </m:sup>
                        </m:sSubSup>
                      </m:sup>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r>
                              <m:rPr>
                                <m:sty m:val="p"/>
                              </m:rPr>
                              <w:rPr>
                                <w:rFonts w:ascii="Cambria Math" w:hAnsi="Cambria Math" w:cs="Times New Roman"/>
                              </w:rPr>
                              <m:t>,</m:t>
                            </m:r>
                            <m:r>
                              <w:rPr>
                                <w:rFonts w:ascii="Cambria Math" w:hAnsi="Cambria Math" w:cs="Times New Roman"/>
                              </w:rPr>
                              <m:t>i</m:t>
                            </m:r>
                          </m:sub>
                        </m:sSub>
                      </m:e>
                    </m:nary>
                    <m:d>
                      <m:dPr>
                        <m:ctrlPr>
                          <w:rPr>
                            <w:rFonts w:ascii="Cambria Math" w:hAnsi="Cambria Math" w:cs="Times New Roman"/>
                          </w:rPr>
                        </m:ctrlPr>
                      </m:dPr>
                      <m:e>
                        <m:r>
                          <w:rPr>
                            <w:rFonts w:ascii="Cambria Math" w:hAnsi="Cambria Math" w:cs="Times New Roman"/>
                          </w:rPr>
                          <m:t>u</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u</m:t>
                            </m:r>
                          </m:e>
                        </m:d>
                      </m:e>
                    </m:d>
                  </m:e>
                </m:d>
                <m:r>
                  <w:rPr>
                    <w:rFonts w:ascii="Cambria Math" w:hAnsi="Cambria Math" w:cs="Times New Roman"/>
                  </w:rPr>
                  <m:t>du</m:t>
                </m:r>
                <m:r>
                  <m:rPr>
                    <m:sty m:val="p"/>
                  </m:rPr>
                  <w:rPr>
                    <w:rFonts w:ascii="Cambria Math" w:hAnsi="Cambria Math" w:cs="Times New Roman"/>
                  </w:rPr>
                  <m:t>,</m:t>
                </m:r>
              </m:e>
            </m:mr>
          </m:m>
          <m:r>
            <w:rPr>
              <w:rFonts w:ascii="Cambria Math" w:hAnsi="Cambria Math" w:cs="Times New Roman"/>
            </w:rPr>
            <m:t>  </m:t>
          </m:r>
          <m:d>
            <m:dPr>
              <m:ctrlPr>
                <w:rPr>
                  <w:rFonts w:ascii="Cambria Math" w:hAnsi="Cambria Math" w:cs="Times New Roman"/>
                </w:rPr>
              </m:ctrlPr>
            </m:dPr>
            <m:e>
              <m:r>
                <w:rPr>
                  <w:rFonts w:ascii="Cambria Math" w:hAnsi="Cambria Math" w:cs="Times New Roman"/>
                </w:rPr>
                <m:t>4</m:t>
              </m:r>
            </m:e>
          </m:d>
        </m:oMath>
      </m:oMathPara>
      <w:bookmarkEnd w:id="6"/>
    </w:p>
    <w:p w14:paraId="07F939C7" w14:textId="77777777" w:rsidR="00697045" w:rsidRPr="004D7AFD" w:rsidRDefault="00000000">
      <w:pPr>
        <w:pStyle w:val="FirstParagraph"/>
        <w:rPr>
          <w:rFonts w:cs="Times New Roman"/>
        </w:rPr>
      </w:pPr>
      <w:r w:rsidRPr="004D7AFD">
        <w:rPr>
          <w:rFonts w:cs="Times New Roman"/>
        </w:rPr>
        <w:t xml:space="preserve">where </w:t>
      </w:r>
      <m:oMath>
        <m:sSubSup>
          <m:sSubSupPr>
            <m:ctrlPr>
              <w:rPr>
                <w:rFonts w:ascii="Cambria Math" w:hAnsi="Cambria Math" w:cs="Times New Roman"/>
              </w:rPr>
            </m:ctrlPr>
          </m:sSubSupPr>
          <m:e>
            <m:r>
              <w:rPr>
                <w:rFonts w:ascii="Cambria Math" w:hAnsi="Cambria Math" w:cs="Times New Roman"/>
              </w:rPr>
              <m:t>T</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up>
            <m:r>
              <m:rPr>
                <m:sty m:val="p"/>
              </m:rPr>
              <w:rPr>
                <w:rFonts w:ascii="Cambria Math" w:hAnsi="Cambria Math" w:cs="Times New Roman"/>
              </w:rPr>
              <m:t>*</m:t>
            </m:r>
          </m:sup>
        </m:sSubSup>
      </m:oMath>
      <w:r w:rsidRPr="004D7AFD">
        <w:rPr>
          <w:rFonts w:cs="Times New Roman"/>
        </w:rPr>
        <w:t xml:space="preserve"> is the censor timing of individual </w:t>
      </w:r>
      <m:oMath>
        <m:r>
          <w:rPr>
            <w:rFonts w:ascii="Cambria Math" w:hAnsi="Cambria Math" w:cs="Times New Roman"/>
          </w:rPr>
          <m:t>i</m:t>
        </m:r>
      </m:oMath>
      <w:r w:rsidRPr="004D7AFD">
        <w:rPr>
          <w:rFonts w:cs="Times New Roman"/>
        </w:rPr>
        <w:t xml:space="preserve"> in health state </w:t>
      </w:r>
      <m:oMath>
        <m:r>
          <w:rPr>
            <w:rFonts w:ascii="Cambria Math" w:hAnsi="Cambria Math" w:cs="Times New Roman"/>
          </w:rPr>
          <m:t>h</m:t>
        </m:r>
      </m:oMath>
      <w:r w:rsidRPr="004D7AFD">
        <w:rPr>
          <w:rFonts w:cs="Times New Roman"/>
        </w:rPr>
        <w:t xml:space="preserve">, if any and treating </w:t>
      </w:r>
      <m:oMath>
        <m:sSup>
          <m:sSupPr>
            <m:ctrlPr>
              <w:rPr>
                <w:rFonts w:ascii="Cambria Math" w:hAnsi="Cambria Math" w:cs="Times New Roman"/>
              </w:rPr>
            </m:ctrlPr>
          </m:sSupPr>
          <m:e>
            <m:r>
              <w:rPr>
                <w:rFonts w:ascii="Cambria Math" w:hAnsi="Cambria Math" w:cs="Times New Roman"/>
              </w:rPr>
              <m:t>0</m:t>
            </m:r>
          </m:e>
          <m:sup>
            <m:r>
              <w:rPr>
                <w:rFonts w:ascii="Cambria Math" w:hAnsi="Cambria Math" w:cs="Times New Roman"/>
              </w:rPr>
              <m:t>0</m:t>
            </m:r>
          </m:sup>
        </m:sSup>
        <m:r>
          <m:rPr>
            <m:sty m:val="p"/>
          </m:rPr>
          <w:rPr>
            <w:rFonts w:ascii="Cambria Math" w:hAnsi="Cambria Math" w:cs="Times New Roman"/>
          </w:rPr>
          <m:t>=</m:t>
        </m:r>
        <m:r>
          <w:rPr>
            <w:rFonts w:ascii="Cambria Math" w:hAnsi="Cambria Math" w:cs="Times New Roman"/>
          </w:rPr>
          <m:t>1</m:t>
        </m:r>
      </m:oMath>
      <w:r w:rsidRPr="004D7AFD">
        <w:rPr>
          <w:rFonts w:cs="Times New Roman"/>
        </w:rPr>
        <w:t>.</w:t>
      </w:r>
    </w:p>
    <w:p w14:paraId="7F2A487A" w14:textId="77777777" w:rsidR="00697045" w:rsidRPr="004D7AFD" w:rsidRDefault="00000000">
      <w:pPr>
        <w:pStyle w:val="BodyText"/>
        <w:rPr>
          <w:rFonts w:cs="Times New Roman"/>
        </w:rPr>
      </w:pPr>
      <w:r w:rsidRPr="004D7AFD">
        <w:rPr>
          <w:rFonts w:cs="Times New Roman"/>
        </w:rPr>
        <w:t xml:space="preserve">Parametric models specify distributions for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’s in </w:t>
      </w:r>
      <w:hyperlink w:anchor="eq-eqL">
        <w:r w:rsidRPr="004D7AFD">
          <w:rPr>
            <w:rStyle w:val="Hyperlink"/>
            <w:rFonts w:cs="Times New Roman"/>
          </w:rPr>
          <w:t>Equation 4</w:t>
        </w:r>
      </w:hyperlink>
      <w:r w:rsidRPr="004D7AFD">
        <w:rPr>
          <w:rFonts w:cs="Times New Roman"/>
        </w:rPr>
        <w:t xml:space="preserve"> such as Weibull and Gamma. Even without covariates, close-form solution of the maximum likelihood parameter estimates for the Weibull model is difficult to obtain.</w:t>
      </w:r>
    </w:p>
    <w:p w14:paraId="142B7193" w14:textId="77777777" w:rsidR="00697045" w:rsidRPr="004D7AFD" w:rsidRDefault="00000000">
      <w:pPr>
        <w:pStyle w:val="BodyText"/>
        <w:rPr>
          <w:rFonts w:cs="Times New Roman"/>
        </w:rPr>
      </w:pPr>
      <w:r w:rsidRPr="004D7AFD">
        <w:rPr>
          <w:rFonts w:cs="Times New Roman"/>
        </w:rPr>
        <w:t>From the above, Andersen et al. (</w:t>
      </w:r>
      <w:hyperlink w:anchor="ref-Andersen.etal_1993_Book">
        <w:r w:rsidRPr="004D7AFD">
          <w:rPr>
            <w:rStyle w:val="Hyperlink"/>
            <w:rFonts w:cs="Times New Roman"/>
          </w:rPr>
          <w:t>1993</w:t>
        </w:r>
      </w:hyperlink>
      <w:r w:rsidRPr="004D7AFD">
        <w:rPr>
          <w:rFonts w:cs="Times New Roman"/>
        </w:rPr>
        <w:t>) derive the following generalized Cox partial likelihood function,</w:t>
      </w:r>
    </w:p>
    <w:p w14:paraId="61B0D49D" w14:textId="77777777" w:rsidR="00697045" w:rsidRPr="004D7AFD" w:rsidRDefault="00000000">
      <w:pPr>
        <w:pStyle w:val="BodyText"/>
        <w:rPr>
          <w:rFonts w:cs="Times New Roman"/>
        </w:rPr>
      </w:pPr>
      <w:bookmarkStart w:id="7" w:name="eq-PL"/>
      <m:oMathPara>
        <m:oMathParaPr>
          <m:jc m:val="center"/>
        </m:oMathParaPr>
        <m:oMath>
          <m:r>
            <w:rPr>
              <w:rFonts w:ascii="Cambria Math" w:hAnsi="Cambria Math" w:cs="Times New Roman"/>
            </w:rPr>
            <m:t>CL</m:t>
          </m:r>
          <m:d>
            <m:dPr>
              <m:ctrlPr>
                <w:rPr>
                  <w:rFonts w:ascii="Cambria Math" w:hAnsi="Cambria Math" w:cs="Times New Roman"/>
                </w:rPr>
              </m:ctrlPr>
            </m:dPr>
            <m:e>
              <m:r>
                <w:rPr>
                  <w:rFonts w:ascii="Cambria Math" w:hAnsi="Cambria Math" w:cs="Times New Roman"/>
                </w:rPr>
                <m:t>β</m:t>
              </m:r>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 j</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r>
                    <m:rPr>
                      <m:sty m:val="p"/>
                    </m:rPr>
                    <w:rPr>
                      <w:rFonts w:ascii="Cambria Math" w:hAnsi="Cambria Math" w:cs="Times New Roman"/>
                    </w:rPr>
                    <m:t>;</m:t>
                  </m:r>
                  <m:r>
                    <w:rPr>
                      <w:rFonts w:ascii="Cambria Math" w:hAnsi="Cambria Math" w:cs="Times New Roman"/>
                    </w:rPr>
                    <m:t> h</m:t>
                  </m:r>
                  <m:r>
                    <m:rPr>
                      <m:sty m:val="p"/>
                    </m:rPr>
                    <w:rPr>
                      <w:rFonts w:ascii="Cambria Math" w:hAnsi="Cambria Math" w:cs="Times New Roman"/>
                    </w:rPr>
                    <m:t>≠</m:t>
                  </m:r>
                  <m:r>
                    <w:rPr>
                      <w:rFonts w:ascii="Cambria Math" w:hAnsi="Cambria Math" w:cs="Times New Roman"/>
                    </w:rPr>
                    <m:t>j</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m:t>
                      </m:r>
                    </m:sup>
                    <m:e>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exp</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hj</m:t>
                                          </m:r>
                                        </m:sub>
                                        <m:sup>
                                          <m:r>
                                            <m:rPr>
                                              <m:sty m:val="p"/>
                                            </m:rPr>
                                            <w:rPr>
                                              <w:rFonts w:ascii="Cambria Math" w:hAnsi="Cambria Math" w:cs="Times New Roman"/>
                                            </w:rPr>
                                            <m:t>'</m:t>
                                          </m:r>
                                        </m:sup>
                                      </m:sSub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e>
                                  </m:d>
                                </m:num>
                                <m:den>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r</m:t>
                                          </m:r>
                                        </m:sub>
                                      </m:sSub>
                                    </m:e>
                                  </m:nary>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exp</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hj</m:t>
                                          </m:r>
                                        </m:sub>
                                        <m:sup>
                                          <m:r>
                                            <m:rPr>
                                              <m:sty m:val="p"/>
                                            </m:rPr>
                                            <w:rPr>
                                              <w:rFonts w:ascii="Cambria Math" w:hAnsi="Cambria Math" w:cs="Times New Roman"/>
                                            </w:rPr>
                                            <m:t>'</m:t>
                                          </m:r>
                                        </m:sup>
                                      </m:sSub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t</m:t>
                                          </m:r>
                                        </m:e>
                                      </m:d>
                                    </m:e>
                                  </m:d>
                                </m:den>
                              </m:f>
                            </m:e>
                          </m:d>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r>
                                <m:rPr>
                                  <m:sty m:val="p"/>
                                </m:rPr>
                                <w:rPr>
                                  <w:rFonts w:ascii="Cambria Math" w:hAnsi="Cambria Math" w:cs="Times New Roman"/>
                                </w:rPr>
                                <m:t>,</m:t>
                              </m:r>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sup>
                      </m:sSup>
                    </m:e>
                  </m:nary>
                </m:e>
              </m:nary>
            </m:e>
          </m:nary>
          <m:r>
            <w:rPr>
              <w:rFonts w:ascii="Cambria Math" w:hAnsi="Cambria Math" w:cs="Times New Roman"/>
            </w:rPr>
            <m:t>  </m:t>
          </m:r>
          <m:d>
            <m:dPr>
              <m:ctrlPr>
                <w:rPr>
                  <w:rFonts w:ascii="Cambria Math" w:hAnsi="Cambria Math" w:cs="Times New Roman"/>
                </w:rPr>
              </m:ctrlPr>
            </m:dPr>
            <m:e>
              <m:r>
                <w:rPr>
                  <w:rFonts w:ascii="Cambria Math" w:hAnsi="Cambria Math" w:cs="Times New Roman"/>
                </w:rPr>
                <m:t>5</m:t>
              </m:r>
            </m:e>
          </m:d>
        </m:oMath>
      </m:oMathPara>
      <w:bookmarkEnd w:id="7"/>
    </w:p>
    <w:p w14:paraId="57D97E6C" w14:textId="77777777" w:rsidR="00697045" w:rsidRPr="004D7AFD" w:rsidRDefault="00000000">
      <w:pPr>
        <w:pStyle w:val="FirstParagraph"/>
        <w:rPr>
          <w:rFonts w:cs="Times New Roman"/>
        </w:rPr>
      </w:pPr>
      <w:r w:rsidRPr="004D7AFD">
        <w:rPr>
          <w:rFonts w:cs="Times New Roman"/>
        </w:rPr>
        <w:t xml:space="preserve">Maximization of the generalized partial likelihood function </w:t>
      </w:r>
      <w:hyperlink w:anchor="eq-PL">
        <w:r w:rsidRPr="004D7AFD">
          <w:rPr>
            <w:rStyle w:val="Hyperlink"/>
            <w:rFonts w:cs="Times New Roman"/>
          </w:rPr>
          <w:t>Equation 5</w:t>
        </w:r>
      </w:hyperlink>
      <w:r w:rsidRPr="004D7AFD">
        <w:rPr>
          <w:rFonts w:cs="Times New Roman"/>
        </w:rPr>
        <w:t xml:space="preserve"> produces consistent estimates of the regression parameters, known as </w:t>
      </w:r>
      <w:r w:rsidRPr="004D7AFD">
        <w:rPr>
          <w:rFonts w:cs="Times New Roman"/>
          <w:i/>
          <w:iCs/>
        </w:rPr>
        <w:t>Cox partial likelihood estimates</w:t>
      </w:r>
      <w:r w:rsidRPr="004D7AFD">
        <w:rPr>
          <w:rFonts w:cs="Times New Roman"/>
        </w:rPr>
        <w:t>. I will also follow this approach.</w:t>
      </w:r>
    </w:p>
    <w:p w14:paraId="4DD3EAF2" w14:textId="77777777" w:rsidR="00697045" w:rsidRPr="004D7AFD" w:rsidRDefault="00000000">
      <w:pPr>
        <w:pStyle w:val="Heading1"/>
        <w:rPr>
          <w:rFonts w:cs="Times New Roman"/>
        </w:rPr>
      </w:pPr>
      <w:bookmarkStart w:id="8" w:name="sec-sec3"/>
      <w:bookmarkEnd w:id="1"/>
      <w:r w:rsidRPr="004D7AFD">
        <w:rPr>
          <w:rFonts w:cs="Times New Roman"/>
        </w:rPr>
        <w:t>Econometric parameterization and Estimation</w:t>
      </w:r>
    </w:p>
    <w:p w14:paraId="55E92D77" w14:textId="77777777" w:rsidR="00697045" w:rsidRPr="004D7AFD" w:rsidRDefault="00000000">
      <w:pPr>
        <w:pStyle w:val="FirstParagraph"/>
        <w:rPr>
          <w:rFonts w:cs="Times New Roman"/>
        </w:rPr>
      </w:pPr>
      <w:r w:rsidRPr="004D7AFD">
        <w:rPr>
          <w:rFonts w:cs="Times New Roman"/>
        </w:rPr>
        <w:t xml:space="preserve">As mentioned in the introduction, the progression of health such as incidence of diseases, disabilities and mortality over life-course is determined by numerous factors. These factors include an individual’s genetic make-up, epigenetic configuration modulated by health behaviors and the surrounding environments, and their evolution over time, and the randomness generated by somatic mutations. Since this study focuses on disabilities that individuals apply for and then get entitlement onto a disability program, the incidence of such disabilities also depends on many economic factors that influence these decisions, such as the individual’s disability insured status, replacement rate and unemployment rate in the economy. The included covariates of a Cox regression model do not include many of those factors. Conditional on the included covariates, there remains individual variations in the risk of diseases, disability and mortality arising from the </w:t>
      </w:r>
      <w:r w:rsidRPr="004D7AFD">
        <w:rPr>
          <w:rFonts w:cs="Times New Roman"/>
        </w:rPr>
        <w:lastRenderedPageBreak/>
        <w:t xml:space="preserve">excluded factors. The variation in risks from excluded factors are known in the economics literature as the </w:t>
      </w:r>
      <w:r w:rsidRPr="004D7AFD">
        <w:rPr>
          <w:rFonts w:cs="Times New Roman"/>
          <w:i/>
          <w:iCs/>
        </w:rPr>
        <w:t>unobserved heterogeneity</w:t>
      </w:r>
      <w:r w:rsidRPr="004D7AFD">
        <w:rPr>
          <w:rFonts w:cs="Times New Roman"/>
        </w:rPr>
        <w:t xml:space="preserve"> and in the epidemiology and statistical literature as </w:t>
      </w:r>
      <w:r w:rsidRPr="004D7AFD">
        <w:rPr>
          <w:rFonts w:cs="Times New Roman"/>
          <w:i/>
          <w:iCs/>
        </w:rPr>
        <w:t>frailty</w:t>
      </w:r>
      <w:r w:rsidRPr="004D7AFD">
        <w:rPr>
          <w:rFonts w:cs="Times New Roman"/>
        </w:rPr>
        <w:t>.</w:t>
      </w:r>
    </w:p>
    <w:p w14:paraId="6D82091E" w14:textId="77777777" w:rsidR="00697045" w:rsidRPr="004D7AFD" w:rsidRDefault="00000000">
      <w:pPr>
        <w:pStyle w:val="BodyText"/>
        <w:rPr>
          <w:rFonts w:cs="Times New Roman"/>
        </w:rPr>
      </w:pPr>
      <w:r w:rsidRPr="004D7AFD">
        <w:rPr>
          <w:rFonts w:cs="Times New Roman"/>
        </w:rPr>
        <w:t xml:space="preserve">The transition intensity or hazard rate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e>
        </m:d>
      </m:oMath>
      <w:r w:rsidRPr="004D7AFD">
        <w:rPr>
          <w:rFonts w:cs="Times New Roman"/>
        </w:rPr>
        <w:t xml:space="preserve"> of an event of transiting from health state </w:t>
      </w:r>
      <m:oMath>
        <m:r>
          <w:rPr>
            <w:rFonts w:ascii="Cambria Math" w:hAnsi="Cambria Math" w:cs="Times New Roman"/>
          </w:rPr>
          <m:t>h</m:t>
        </m:r>
      </m:oMath>
      <w:r w:rsidRPr="004D7AFD">
        <w:rPr>
          <w:rFonts w:cs="Times New Roman"/>
        </w:rPr>
        <w:t xml:space="preserve"> to health state </w:t>
      </w:r>
      <m:oMath>
        <m:r>
          <w:rPr>
            <w:rFonts w:ascii="Cambria Math" w:hAnsi="Cambria Math" w:cs="Times New Roman"/>
          </w:rPr>
          <m:t>j</m:t>
        </m:r>
      </m:oMath>
      <w:r w:rsidRPr="004D7AFD">
        <w:rPr>
          <w:rFonts w:cs="Times New Roman"/>
        </w:rPr>
        <w:t xml:space="preserve"> at time </w:t>
      </w:r>
      <m:oMath>
        <m:r>
          <w:rPr>
            <w:rFonts w:ascii="Cambria Math" w:hAnsi="Cambria Math" w:cs="Times New Roman"/>
          </w:rPr>
          <m:t>t</m:t>
        </m:r>
      </m:oMath>
      <w:r w:rsidRPr="004D7AFD">
        <w:rPr>
          <w:rFonts w:cs="Times New Roman"/>
        </w:rPr>
        <w:t xml:space="preserve"> given the history </w:t>
      </w:r>
      <m:oMath>
        <m:r>
          <m:rPr>
            <m:scr m:val="script"/>
            <m:sty m:val="p"/>
          </m:rP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m:t>
        </m:r>
        <m:r>
          <w:rPr>
            <w:rFonts w:ascii="Cambria Math" w:hAnsi="Cambria Math" w:cs="Times New Roman"/>
          </w:rPr>
          <m:t>Z</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w:r w:rsidRPr="004D7AFD">
        <w:rPr>
          <w:rFonts w:cs="Times New Roman"/>
        </w:rPr>
        <w:t xml:space="preserve"> and unobserved heterogeneity level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oMath>
      <w:r w:rsidRPr="004D7AFD">
        <w:rPr>
          <w:rFonts w:cs="Times New Roman"/>
        </w:rPr>
        <w:t xml:space="preserve"> is parameterized as follows,</w:t>
      </w:r>
    </w:p>
    <w:bookmarkStart w:id="9" w:name="eq-eq7"/>
    <w:p w14:paraId="30A4AA67" w14:textId="77777777" w:rsidR="00697045" w:rsidRPr="004D7AFD" w:rsidRDefault="00000000">
      <w:pPr>
        <w:pStyle w:val="BodyText"/>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hj</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hj</m:t>
                  </m:r>
                </m:sub>
              </m:sSub>
            </m:sup>
          </m:s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hj</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hj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hj</m:t>
                  </m:r>
                </m:sub>
              </m:sSub>
            </m:sup>
          </m:sSup>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6</m:t>
              </m:r>
            </m:e>
          </m:d>
        </m:oMath>
      </m:oMathPara>
      <w:bookmarkEnd w:id="9"/>
    </w:p>
    <w:p w14:paraId="3829F77A" w14:textId="77777777" w:rsidR="00697045" w:rsidRPr="004D7AFD" w:rsidRDefault="00000000">
      <w:pPr>
        <w:pStyle w:val="FirstParagraph"/>
        <w:rPr>
          <w:rFonts w:cs="Times New Roman"/>
        </w:rPr>
      </w:pPr>
      <w:r w:rsidRPr="004D7AFD">
        <w:rPr>
          <w:rFonts w:cs="Times New Roman"/>
        </w:rPr>
        <w:t xml:space="preserve">where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hj</m:t>
                </m:r>
              </m:sub>
            </m:sSub>
          </m:sup>
        </m:sSup>
      </m:oMath>
      <w:r w:rsidRPr="004D7AFD">
        <w:rPr>
          <w:rFonts w:cs="Times New Roman"/>
        </w:rPr>
        <w:t xml:space="preserve">. In the above specification,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hj</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is known as the </w:t>
      </w:r>
      <w:r w:rsidRPr="004D7AFD">
        <w:rPr>
          <w:rFonts w:cs="Times New Roman"/>
          <w:i/>
          <w:iCs/>
        </w:rPr>
        <w:t>baseline hazard function</w:t>
      </w:r>
      <w:r w:rsidRPr="004D7AFD">
        <w:rPr>
          <w:rFonts w:cs="Times New Roman"/>
        </w:rPr>
        <w:t xml:space="preserve">. The specification of transition intensity in </w:t>
      </w:r>
      <w:hyperlink w:anchor="eq-eq7">
        <w:r w:rsidRPr="004D7AFD">
          <w:rPr>
            <w:rStyle w:val="Hyperlink"/>
            <w:rFonts w:cs="Times New Roman"/>
          </w:rPr>
          <w:t>Equation 6</w:t>
        </w:r>
      </w:hyperlink>
      <w:r w:rsidRPr="004D7AFD">
        <w:rPr>
          <w:rFonts w:cs="Times New Roman"/>
        </w:rPr>
        <w:t xml:space="preserve"> is known as the </w:t>
      </w:r>
      <w:r w:rsidRPr="004D7AFD">
        <w:rPr>
          <w:rFonts w:cs="Times New Roman"/>
          <w:i/>
          <w:iCs/>
        </w:rPr>
        <w:t>proportional hazard model</w:t>
      </w:r>
      <w:r w:rsidRPr="004D7AFD">
        <w:rPr>
          <w:rFonts w:cs="Times New Roman"/>
        </w:rPr>
        <w:t xml:space="preserve">. It aggregates the effects of the regressors </w:t>
      </w:r>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linearly as </w:t>
      </w:r>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hj</m:t>
            </m:r>
          </m:sub>
        </m:sSub>
      </m:oMath>
      <w:r w:rsidRPr="004D7AFD">
        <w:rPr>
          <w:rFonts w:cs="Times New Roman"/>
        </w:rPr>
        <w:t xml:space="preserve">, known as the </w:t>
      </w:r>
      <w:r w:rsidRPr="004D7AFD">
        <w:rPr>
          <w:rFonts w:cs="Times New Roman"/>
          <w:i/>
          <w:iCs/>
        </w:rPr>
        <w:t>fixed effect</w:t>
      </w:r>
      <w:r w:rsidRPr="004D7AFD">
        <w:rPr>
          <w:rFonts w:cs="Times New Roman"/>
        </w:rPr>
        <w:t xml:space="preserve"> and shifts the baseline hazard function proportionately over time, by the factor </w:t>
      </w:r>
      <m:oMath>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hj</m:t>
                </m:r>
              </m:sub>
            </m:sSub>
          </m:sup>
        </m:sSup>
      </m:oMath>
      <w:r w:rsidRPr="004D7AFD">
        <w:rPr>
          <w:rFonts w:cs="Times New Roman"/>
        </w:rPr>
        <w:t xml:space="preserve">. A regression coefficient </w:t>
      </w:r>
      <m:oMath>
        <m:r>
          <w:rPr>
            <w:rFonts w:ascii="Cambria Math" w:hAnsi="Cambria Math" w:cs="Times New Roman"/>
          </w:rPr>
          <m:t>β</m:t>
        </m:r>
      </m:oMath>
      <w:r w:rsidRPr="004D7AFD">
        <w:rPr>
          <w:rFonts w:cs="Times New Roman"/>
        </w:rPr>
        <w:t xml:space="preserve"> of a covariate </w:t>
      </w:r>
      <m:oMath>
        <m:r>
          <w:rPr>
            <w:rFonts w:ascii="Cambria Math" w:hAnsi="Cambria Math" w:cs="Times New Roman"/>
          </w:rPr>
          <m:t>X</m:t>
        </m:r>
      </m:oMath>
      <w:r w:rsidRPr="004D7AFD">
        <w:rPr>
          <w:rFonts w:cs="Times New Roman"/>
        </w:rPr>
        <w:t xml:space="preserve"> in the above specification quantifies the </w:t>
      </w:r>
      <w:r w:rsidRPr="004D7AFD">
        <w:rPr>
          <w:rFonts w:cs="Times New Roman"/>
          <w:i/>
          <w:iCs/>
        </w:rPr>
        <w:t>individual treatment effect</w:t>
      </w:r>
      <w:r w:rsidRPr="004D7AFD">
        <w:rPr>
          <w:rFonts w:cs="Times New Roman"/>
        </w:rPr>
        <w:t xml:space="preserve"> in terms of the change in the risk (measured in log-scale) of encountering transition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oMath>
      <w:r w:rsidRPr="004D7AFD">
        <w:rPr>
          <w:rFonts w:cs="Times New Roman"/>
        </w:rPr>
        <w:t xml:space="preserve"> at time </w:t>
      </w:r>
      <m:oMath>
        <m:r>
          <w:rPr>
            <w:rFonts w:ascii="Cambria Math" w:hAnsi="Cambria Math" w:cs="Times New Roman"/>
          </w:rPr>
          <m:t>t</m:t>
        </m:r>
      </m:oMath>
      <w:r w:rsidRPr="004D7AFD">
        <w:rPr>
          <w:rFonts w:cs="Times New Roman"/>
        </w:rPr>
        <w:t xml:space="preserve"> from a unit increase in the treatment variable </w:t>
      </w:r>
      <m:oMath>
        <m:r>
          <w:rPr>
            <w:rFonts w:ascii="Cambria Math" w:hAnsi="Cambria Math" w:cs="Times New Roman"/>
          </w:rPr>
          <m:t>X</m:t>
        </m:r>
      </m:oMath>
      <w:r w:rsidRPr="004D7AFD">
        <w:rPr>
          <w:rFonts w:cs="Times New Roman"/>
        </w:rPr>
        <w:t xml:space="preserve">. More specifically, let </w:t>
      </w:r>
      <m:oMath>
        <m:r>
          <w:rPr>
            <w:rFonts w:ascii="Cambria Math" w:hAnsi="Cambria Math" w:cs="Times New Roman"/>
          </w:rPr>
          <m:t>h</m:t>
        </m:r>
      </m:oMath>
      <w:r w:rsidRPr="004D7AFD">
        <w:rPr>
          <w:rFonts w:cs="Times New Roman"/>
        </w:rPr>
        <w:t xml:space="preserve"> be the healthy state and </w:t>
      </w:r>
      <m:oMath>
        <m:r>
          <w:rPr>
            <w:rFonts w:ascii="Cambria Math" w:hAnsi="Cambria Math" w:cs="Times New Roman"/>
          </w:rPr>
          <m:t>j</m:t>
        </m:r>
      </m:oMath>
      <w:r w:rsidRPr="004D7AFD">
        <w:rPr>
          <w:rFonts w:cs="Times New Roman"/>
        </w:rPr>
        <w:t xml:space="preserve"> be the disability health state and the treatment level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4D7AFD">
        <w:rPr>
          <w:rFonts w:cs="Times New Roman"/>
        </w:rPr>
        <w:t xml:space="preserve">. The quantity </w:t>
      </w:r>
      <m:oMath>
        <m:r>
          <w:rPr>
            <w:rFonts w:ascii="Cambria Math" w:hAnsi="Cambria Math" w:cs="Times New Roman"/>
          </w:rPr>
          <m:t>exp</m:t>
        </m:r>
        <m:d>
          <m:dPr>
            <m:ctrlPr>
              <w:rPr>
                <w:rFonts w:ascii="Cambria Math" w:hAnsi="Cambria Math" w:cs="Times New Roman"/>
              </w:rPr>
            </m:ctrlPr>
          </m:dPr>
          <m:e>
            <m:r>
              <w:rPr>
                <w:rFonts w:ascii="Cambria Math" w:hAnsi="Cambria Math" w:cs="Times New Roman"/>
              </w:rPr>
              <m:t>β</m:t>
            </m:r>
          </m:e>
        </m:d>
      </m:oMath>
      <w:r w:rsidRPr="004D7AFD">
        <w:rPr>
          <w:rFonts w:cs="Times New Roman"/>
        </w:rPr>
        <w:t xml:space="preserve">, known as the individual level </w:t>
      </w:r>
      <w:r w:rsidRPr="004D7AFD">
        <w:rPr>
          <w:rFonts w:cs="Times New Roman"/>
          <w:i/>
          <w:iCs/>
        </w:rPr>
        <w:t>hazard ratio</w:t>
      </w:r>
      <w:r w:rsidRPr="004D7AFD">
        <w:rPr>
          <w:rFonts w:cs="Times New Roman"/>
        </w:rPr>
        <w:t xml:space="preserve">, is the ratio of the probability of an individual from healthy state becoming disable at time </w:t>
      </w:r>
      <m:oMath>
        <m:r>
          <w:rPr>
            <w:rFonts w:ascii="Cambria Math" w:hAnsi="Cambria Math" w:cs="Times New Roman"/>
          </w:rPr>
          <m:t>t</m:t>
        </m:r>
      </m:oMath>
      <w:r w:rsidRPr="004D7AFD">
        <w:rPr>
          <w:rFonts w:cs="Times New Roman"/>
        </w:rPr>
        <w:t xml:space="preserve"> if the treatment is increased by a unit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1</m:t>
        </m:r>
      </m:oMath>
      <w:r w:rsidRPr="004D7AFD">
        <w:rPr>
          <w:rFonts w:cs="Times New Roman"/>
        </w:rPr>
        <w:t xml:space="preserve"> over the individual’s probability of becoming disabled from healthy state at time </w:t>
      </w:r>
      <m:oMath>
        <m:r>
          <w:rPr>
            <w:rFonts w:ascii="Cambria Math" w:hAnsi="Cambria Math" w:cs="Times New Roman"/>
          </w:rPr>
          <m:t>t</m:t>
        </m:r>
      </m:oMath>
      <w:r w:rsidRPr="004D7AFD">
        <w:rPr>
          <w:rFonts w:cs="Times New Roman"/>
        </w:rPr>
        <w:t xml:space="preserve"> with the treatment level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4D7AFD">
        <w:rPr>
          <w:rFonts w:cs="Times New Roman"/>
        </w:rPr>
        <w:t xml:space="preserve">. Proportionality assumption implies that the individual hazard ratios are time constant. The variable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oMath>
      <w:r w:rsidRPr="004D7AFD">
        <w:rPr>
          <w:rFonts w:cs="Times New Roman"/>
        </w:rPr>
        <w:t xml:space="preserve"> is the aggregate effect of all the unobserved covariates and it is assumed to be a random variable and hence known as the </w:t>
      </w:r>
      <w:r w:rsidRPr="004D7AFD">
        <w:rPr>
          <w:rFonts w:cs="Times New Roman"/>
          <w:i/>
          <w:iCs/>
        </w:rPr>
        <w:t>random effect</w:t>
      </w:r>
      <w:r w:rsidRPr="004D7AFD">
        <w:rPr>
          <w:rFonts w:cs="Times New Roman"/>
        </w:rPr>
        <w:t xml:space="preserve">. The interpretation of the frailty or unobserved heterogeneity variable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oMath>
      <w:r w:rsidRPr="004D7AFD">
        <w:rPr>
          <w:rFonts w:cs="Times New Roman"/>
        </w:rPr>
        <w:t xml:space="preserve"> is that it imparts a random proportional shift of the baseline intensity by a multiplier of magnitude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oMath>
      <w:r w:rsidRPr="004D7AFD">
        <w:rPr>
          <w:rFonts w:cs="Times New Roman"/>
        </w:rPr>
        <w:t xml:space="preserve">, which is the realized value of the random variable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oMath>
      <w:r w:rsidRPr="004D7AFD">
        <w:rPr>
          <w:rFonts w:cs="Times New Roman"/>
        </w:rPr>
        <w:t xml:space="preserve"> for the individual. Individuals with higher realized values of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oMath>
      <w:r w:rsidRPr="004D7AFD">
        <w:rPr>
          <w:rFonts w:cs="Times New Roman"/>
        </w:rPr>
        <w:t xml:space="preserve"> are more frail and will have higher probabilities of transition at any given age. For identification, it is assumed that </w:t>
      </w: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e>
        </m:d>
        <m:r>
          <m:rPr>
            <m:sty m:val="p"/>
          </m:rPr>
          <w:rPr>
            <w:rFonts w:ascii="Cambria Math" w:hAnsi="Cambria Math" w:cs="Times New Roman"/>
          </w:rPr>
          <m:t>=</m:t>
        </m:r>
        <m:r>
          <w:rPr>
            <w:rFonts w:ascii="Cambria Math" w:hAnsi="Cambria Math" w:cs="Times New Roman"/>
          </w:rPr>
          <m:t>1</m:t>
        </m:r>
      </m:oMath>
      <w:r w:rsidRPr="004D7AFD">
        <w:rPr>
          <w:rFonts w:cs="Times New Roman"/>
        </w:rPr>
        <w:t xml:space="preserve">. An individual with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r>
          <m:rPr>
            <m:sty m:val="p"/>
          </m:rPr>
          <w:rPr>
            <w:rFonts w:ascii="Cambria Math" w:hAnsi="Cambria Math" w:cs="Times New Roman"/>
          </w:rPr>
          <m:t>=</m:t>
        </m:r>
        <m:r>
          <w:rPr>
            <w:rFonts w:ascii="Cambria Math" w:hAnsi="Cambria Math" w:cs="Times New Roman"/>
          </w:rPr>
          <m:t>1</m:t>
        </m:r>
      </m:oMath>
      <w:r w:rsidRPr="004D7AFD">
        <w:rPr>
          <w:rFonts w:cs="Times New Roman"/>
        </w:rPr>
        <w:t xml:space="preserve"> will be referred to as the </w:t>
      </w:r>
      <w:r w:rsidRPr="004D7AFD">
        <w:rPr>
          <w:rFonts w:cs="Times New Roman"/>
          <w:i/>
          <w:iCs/>
        </w:rPr>
        <w:t>average individual</w:t>
      </w:r>
      <w:r w:rsidRPr="004D7AFD">
        <w:rPr>
          <w:rFonts w:cs="Times New Roman"/>
        </w:rPr>
        <w:t>.</w:t>
      </w:r>
    </w:p>
    <w:p w14:paraId="3D07D6CA" w14:textId="77777777" w:rsidR="00697045" w:rsidRPr="004D7AFD" w:rsidRDefault="00000000">
      <w:pPr>
        <w:pStyle w:val="BodyText"/>
        <w:rPr>
          <w:rFonts w:cs="Times New Roman"/>
        </w:rPr>
      </w:pPr>
      <w:r w:rsidRPr="004D7AFD">
        <w:rPr>
          <w:rFonts w:cs="Times New Roman"/>
        </w:rPr>
        <w:t xml:space="preserve">The most widely used statistical procedure for estimation of the transition probabilities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oMath>
      <w:r w:rsidRPr="004D7AFD">
        <w:rPr>
          <w:rFonts w:cs="Times New Roman"/>
        </w:rPr>
        <w:t xml:space="preserve"> </w:t>
      </w: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&lt;</m:t>
        </m:r>
        <m:r>
          <w:rPr>
            <w:rFonts w:ascii="Cambria Math" w:hAnsi="Cambria Math" w:cs="Times New Roman"/>
          </w:rPr>
          <m:t>t</m:t>
        </m:r>
      </m:oMath>
      <w:r w:rsidRPr="004D7AFD">
        <w:rPr>
          <w:rFonts w:cs="Times New Roman"/>
        </w:rPr>
        <w:t xml:space="preserve"> with or without covariates is to plug-in an estimate of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e>
        </m:d>
      </m:oMath>
      <w:r w:rsidRPr="004D7AFD">
        <w:rPr>
          <w:rFonts w:cs="Times New Roman"/>
        </w:rPr>
        <w:t xml:space="preserve"> in </w:t>
      </w:r>
      <w:hyperlink w:anchor="eq-eq6">
        <w:r w:rsidRPr="004D7AFD">
          <w:rPr>
            <w:rStyle w:val="Hyperlink"/>
            <w:rFonts w:cs="Times New Roman"/>
          </w:rPr>
          <w:t>Equation 3</w:t>
        </w:r>
      </w:hyperlink>
      <w:r w:rsidRPr="004D7AFD">
        <w:rPr>
          <w:rFonts w:cs="Times New Roman"/>
        </w:rPr>
        <w:t>.</w:t>
      </w:r>
    </w:p>
    <w:p w14:paraId="70C7EA8E" w14:textId="77777777" w:rsidR="00697045" w:rsidRPr="004D7AFD" w:rsidRDefault="00000000">
      <w:pPr>
        <w:pStyle w:val="BodyText"/>
        <w:rPr>
          <w:rFonts w:cs="Times New Roman"/>
        </w:rPr>
      </w:pPr>
      <w:r w:rsidRPr="004D7AFD">
        <w:rPr>
          <w:rFonts w:cs="Times New Roman"/>
        </w:rPr>
        <w:lastRenderedPageBreak/>
        <w:t xml:space="preserve">Assuming that there is no unobserved heterogeneity, there are broadly two types of statistical methods to get an estimate of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e>
        </m:d>
      </m:oMath>
      <w:r w:rsidRPr="004D7AFD">
        <w:rPr>
          <w:rFonts w:cs="Times New Roman"/>
        </w:rPr>
        <w:t xml:space="preserve"> — parametric method and semi-parametric method. In the next </w:t>
      </w:r>
      <w:hyperlink w:anchor="sec-sec3-1">
        <w:r w:rsidRPr="004D7AFD">
          <w:rPr>
            <w:rStyle w:val="Hyperlink"/>
            <w:rFonts w:cs="Times New Roman"/>
          </w:rPr>
          <w:t>Section 3.1</w:t>
        </w:r>
      </w:hyperlink>
      <w:r w:rsidRPr="004D7AFD">
        <w:rPr>
          <w:rFonts w:cs="Times New Roman"/>
        </w:rPr>
        <w:t xml:space="preserve">, I will follow the widely used Aalen-Johnson-Fleming semi-parametric method. This method uses the Nelson-Aalen estimate of each component transition intensity function of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e>
        </m:d>
      </m:oMath>
      <w:r w:rsidRPr="004D7AFD">
        <w:rPr>
          <w:rFonts w:cs="Times New Roman"/>
        </w:rPr>
        <w:t xml:space="preserve"> assuming a Cox proportional hazard model to incorporate the time-varying covariate effects. Note that without covariates, this semi-parametric method is, in fact, a nonparametric method. In </w:t>
      </w:r>
      <w:hyperlink w:anchor="sec-sec3-2">
        <w:r w:rsidRPr="004D7AFD">
          <w:rPr>
            <w:rStyle w:val="Hyperlink"/>
            <w:rFonts w:cs="Times New Roman"/>
          </w:rPr>
          <w:t>Section 3.2</w:t>
        </w:r>
      </w:hyperlink>
      <w:r w:rsidRPr="004D7AFD">
        <w:rPr>
          <w:rFonts w:cs="Times New Roman"/>
        </w:rPr>
        <w:t>, I address the problems associated with unobserved heterogeneity and how I correct for unobserved heterogeneity biases in our multi-state framework.</w:t>
      </w:r>
    </w:p>
    <w:p w14:paraId="407E4E5C" w14:textId="77777777" w:rsidR="00697045" w:rsidRPr="004D7AFD" w:rsidRDefault="00000000">
      <w:pPr>
        <w:pStyle w:val="Heading2"/>
        <w:rPr>
          <w:rFonts w:cs="Times New Roman"/>
        </w:rPr>
      </w:pPr>
      <w:bookmarkStart w:id="10" w:name="sec-sec3-1"/>
      <w:r w:rsidRPr="004D7AFD">
        <w:rPr>
          <w:rFonts w:cs="Times New Roman"/>
        </w:rPr>
        <w:t>Aalen-Johansen-Fleming Estimator for Transition Probabilities</w:t>
      </w:r>
    </w:p>
    <w:p w14:paraId="4890F42A" w14:textId="77777777" w:rsidR="00697045" w:rsidRPr="004D7AFD" w:rsidRDefault="00000000">
      <w:pPr>
        <w:pStyle w:val="FirstParagraph"/>
        <w:rPr>
          <w:rFonts w:cs="Times New Roman"/>
        </w:rPr>
      </w:pPr>
      <w:r w:rsidRPr="004D7AFD">
        <w:rPr>
          <w:rFonts w:cs="Times New Roman"/>
        </w:rPr>
        <w:t>The bulk of developments of statistical methods for inference in the multi-state framework assumes the absence of unobserved heterogeneity. Two papers (</w:t>
      </w:r>
      <w:hyperlink w:anchor="ref-Fleming_1978a">
        <w:r w:rsidRPr="004D7AFD">
          <w:rPr>
            <w:rStyle w:val="Hyperlink"/>
            <w:rFonts w:cs="Times New Roman"/>
          </w:rPr>
          <w:t>Fleming 1978</w:t>
        </w:r>
      </w:hyperlink>
      <w:r w:rsidRPr="004D7AFD">
        <w:rPr>
          <w:rFonts w:cs="Times New Roman"/>
        </w:rPr>
        <w:t xml:space="preserve">; and </w:t>
      </w:r>
      <w:hyperlink w:anchor="ref-Aalen.Johansen_1978">
        <w:r w:rsidRPr="004D7AFD">
          <w:rPr>
            <w:rStyle w:val="Hyperlink"/>
            <w:rFonts w:cs="Times New Roman"/>
          </w:rPr>
          <w:t>Aalen and Johansen 1978</w:t>
        </w:r>
      </w:hyperlink>
      <w:r w:rsidRPr="004D7AFD">
        <w:rPr>
          <w:rFonts w:cs="Times New Roman"/>
        </w:rPr>
        <w:t>) independently extended the Kaplan-Meier nonparametric product limit estimator from survival analysis to the multi-state time to event models.</w:t>
      </w:r>
      <w:r w:rsidRPr="004D7AFD">
        <w:rPr>
          <w:rStyle w:val="FootnoteReference"/>
          <w:rFonts w:cs="Times New Roman"/>
        </w:rPr>
        <w:footnoteReference w:id="6"/>
      </w:r>
      <w:r w:rsidRPr="004D7AFD">
        <w:rPr>
          <w:rFonts w:cs="Times New Roman"/>
        </w:rPr>
        <w:t xml:space="preserve"> I use this widely used estimation method as a baseline. I first describe the Aalen-Johansen-Fleming estimator for models with no covariates and then I describe the method for the general case with time-varying covariates, assuming the absence of unobserved heterogeneity. </w:t>
      </w:r>
      <w:hyperlink w:anchor="sec-sec3-2">
        <w:r w:rsidRPr="004D7AFD">
          <w:rPr>
            <w:rStyle w:val="Hyperlink"/>
            <w:rFonts w:cs="Times New Roman"/>
          </w:rPr>
          <w:t>Section 3.2</w:t>
        </w:r>
      </w:hyperlink>
      <w:r w:rsidRPr="004D7AFD">
        <w:rPr>
          <w:rFonts w:cs="Times New Roman"/>
        </w:rPr>
        <w:t xml:space="preserve"> describes the estimation procedure I follow to deal with unobserved heterogeneity.</w:t>
      </w:r>
    </w:p>
    <w:p w14:paraId="7BF3D9CD" w14:textId="77777777" w:rsidR="00697045" w:rsidRPr="004D7AFD" w:rsidRDefault="00000000">
      <w:pPr>
        <w:pStyle w:val="BodyText"/>
        <w:rPr>
          <w:rFonts w:cs="Times New Roman"/>
        </w:rPr>
      </w:pPr>
      <w:r w:rsidRPr="004D7AFD">
        <w:rPr>
          <w:rFonts w:cs="Times New Roman"/>
        </w:rPr>
        <w:t xml:space="preserve">For illustration, focus on one transition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oMath>
      <w:r w:rsidRPr="004D7AFD">
        <w:rPr>
          <w:rFonts w:cs="Times New Roman"/>
        </w:rPr>
        <w:t xml:space="preserve">. Denote by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hj</m:t>
                </m:r>
                <m:r>
                  <m:rPr>
                    <m:sty m:val="p"/>
                  </m:rPr>
                  <w:rPr>
                    <w:rFonts w:ascii="Cambria Math" w:hAnsi="Cambria Math" w:cs="Times New Roman"/>
                  </w:rPr>
                  <m:t>,</m:t>
                </m:r>
                <m:r>
                  <w:rPr>
                    <w:rFonts w:ascii="Cambria Math" w:hAnsi="Cambria Math" w:cs="Times New Roman"/>
                  </w:rPr>
                  <m:t>i</m:t>
                </m:r>
              </m:sub>
            </m:sSub>
          </m:e>
        </m:nary>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a counting process measuring the number of transitions of the type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oMath>
      <w:r w:rsidRPr="004D7AFD">
        <w:rPr>
          <w:rFonts w:cs="Times New Roman"/>
        </w:rPr>
        <w:t xml:space="preserve"> in the sample at time </w:t>
      </w:r>
      <m:oMath>
        <m:r>
          <w:rPr>
            <w:rFonts w:ascii="Cambria Math" w:hAnsi="Cambria Math" w:cs="Times New Roman"/>
          </w:rPr>
          <m:t>t</m:t>
        </m:r>
      </m:oMath>
      <w:r w:rsidRPr="004D7AFD">
        <w:rPr>
          <w:rFonts w:cs="Times New Roman"/>
        </w:rPr>
        <w:t xml:space="preserve">, and by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Sub>
          </m:e>
        </m:nary>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a counting process measuring the number of individuals in the sample at risk for a transition at time </w:t>
      </w:r>
      <m:oMath>
        <m:r>
          <w:rPr>
            <w:rFonts w:ascii="Cambria Math" w:hAnsi="Cambria Math" w:cs="Times New Roman"/>
          </w:rPr>
          <m:t>t</m:t>
        </m:r>
      </m:oMath>
      <w:r w:rsidRPr="004D7AFD">
        <w:rPr>
          <w:rFonts w:cs="Times New Roman"/>
        </w:rPr>
        <w:t xml:space="preserve">. In any empirical study, data will be available only at discrete times, say in ordered times </w:t>
      </w:r>
      <m:oMath>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m:rPr>
            <m:sty m:val="p"/>
          </m:rPr>
          <w:rPr>
            <w:rFonts w:ascii="Cambria Math" w:hAnsi="Cambria Math" w:cs="Times New Roman"/>
          </w:rPr>
          <m:t>&lt;...&lt;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m:t>
            </m:r>
          </m:sub>
        </m:sSub>
      </m:oMath>
      <w:r w:rsidRPr="004D7AFD">
        <w:rPr>
          <w:rFonts w:cs="Times New Roman"/>
        </w:rPr>
        <w:t xml:space="preserve">. For a process </w:t>
      </w:r>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observed at these time points, denote by </w:t>
      </w:r>
      <m:oMath>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Sub>
          </m:e>
        </m:d>
      </m:oMath>
      <w:r w:rsidRPr="004D7AFD">
        <w:rPr>
          <w:rFonts w:cs="Times New Roman"/>
        </w:rPr>
        <w:t xml:space="preserve"> for </w:t>
      </w:r>
      <m:oMath>
        <m:r>
          <w:rPr>
            <w:rFonts w:ascii="Cambria Math" w:hAnsi="Cambria Math" w:cs="Times New Roman"/>
          </w:rPr>
          <m:t>i</m:t>
        </m:r>
        <m:r>
          <m:rPr>
            <m:sty m:val="p"/>
          </m:rPr>
          <w:rPr>
            <w:rFonts w:ascii="Cambria Math" w:hAnsi="Cambria Math" w:cs="Times New Roman"/>
          </w:rPr>
          <m:t>&gt;</m:t>
        </m:r>
        <m:r>
          <w:rPr>
            <w:rFonts w:ascii="Cambria Math" w:hAnsi="Cambria Math" w:cs="Times New Roman"/>
          </w:rPr>
          <m:t>0</m:t>
        </m:r>
      </m:oMath>
      <w:r w:rsidRPr="004D7AFD">
        <w:rPr>
          <w:rFonts w:cs="Times New Roman"/>
        </w:rPr>
        <w:t xml:space="preserve"> and </w:t>
      </w:r>
      <m:oMath>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Z</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e>
        </m:d>
      </m:oMath>
      <w:r w:rsidRPr="004D7AFD">
        <w:rPr>
          <w:rFonts w:cs="Times New Roman"/>
        </w:rPr>
        <w:t xml:space="preserve">. At each observed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4D7AFD">
        <w:rPr>
          <w:rFonts w:cs="Times New Roman"/>
        </w:rPr>
        <w:t xml:space="preserve"> of the dataset, the procedure estimates each component transition intensity function by</w:t>
      </w:r>
    </w:p>
    <w:bookmarkStart w:id="11" w:name="eq-eq8"/>
    <w:p w14:paraId="54F798EA" w14:textId="77777777" w:rsidR="00697045" w:rsidRPr="004D7AFD" w:rsidRDefault="00000000">
      <w:pPr>
        <w:pStyle w:val="BodyText"/>
        <w:rPr>
          <w:rFonts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hj</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num>
            <m:den>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den>
          </m:f>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h  </m:t>
          </m:r>
          <m:d>
            <m:dPr>
              <m:ctrlPr>
                <w:rPr>
                  <w:rFonts w:ascii="Cambria Math" w:hAnsi="Cambria Math" w:cs="Times New Roman"/>
                </w:rPr>
              </m:ctrlPr>
            </m:dPr>
            <m:e>
              <m:r>
                <w:rPr>
                  <w:rFonts w:ascii="Cambria Math" w:hAnsi="Cambria Math" w:cs="Times New Roman"/>
                </w:rPr>
                <m:t>7</m:t>
              </m:r>
            </m:e>
          </m:d>
        </m:oMath>
      </m:oMathPara>
      <w:bookmarkEnd w:id="11"/>
    </w:p>
    <w:p w14:paraId="39B22432" w14:textId="77777777" w:rsidR="00697045" w:rsidRPr="004D7AFD" w:rsidRDefault="00000000">
      <w:pPr>
        <w:pStyle w:val="FirstParagraph"/>
        <w:rPr>
          <w:rFonts w:cs="Times New Roman"/>
        </w:rPr>
      </w:pPr>
      <w:r w:rsidRPr="004D7AFD">
        <w:rPr>
          <w:rFonts w:cs="Times New Roman"/>
        </w:rPr>
        <w:lastRenderedPageBreak/>
        <w:t xml:space="preserve">The </w:t>
      </w:r>
      <w:r w:rsidRPr="004D7AFD">
        <w:rPr>
          <w:rFonts w:cs="Times New Roman"/>
          <w:i/>
          <w:iCs/>
        </w:rPr>
        <w:t>Nelson-Aalen non-parametric estimate</w:t>
      </w:r>
      <w:r w:rsidRPr="004D7AFD">
        <w:rPr>
          <w:rFonts w:cs="Times New Roman"/>
        </w:rPr>
        <w:t xml:space="preserve"> of the integrated transition intensity functions is given for each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4D7AFD">
        <w:rPr>
          <w:rFonts w:cs="Times New Roman"/>
        </w:rPr>
        <w:t xml:space="preserve"> by</w:t>
      </w:r>
    </w:p>
    <w:bookmarkStart w:id="12" w:name="eq-eq9"/>
    <w:p w14:paraId="02236E2E" w14:textId="77777777" w:rsidR="00697045" w:rsidRPr="004D7AFD" w:rsidRDefault="00000000">
      <w:pPr>
        <w:pStyle w:val="BodyText"/>
        <w:rPr>
          <w:rFonts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e>
              <m:e>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t</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e>
            </m:mr>
            <m:m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hh</m:t>
                    </m:r>
                  </m:sub>
                </m:sSub>
                <m:d>
                  <m:dPr>
                    <m:ctrlPr>
                      <w:rPr>
                        <w:rFonts w:ascii="Cambria Math" w:hAnsi="Cambria Math" w:cs="Times New Roman"/>
                      </w:rPr>
                    </m:ctrlPr>
                  </m:dPr>
                  <m:e>
                    <m:r>
                      <w:rPr>
                        <w:rFonts w:ascii="Cambria Math" w:hAnsi="Cambria Math" w:cs="Times New Roman"/>
                      </w:rPr>
                      <m:t>t</m:t>
                    </m:r>
                  </m:e>
                </m:d>
              </m:e>
              <m:e>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r>
                  <m:rPr>
                    <m:nor/>
                  </m:rPr>
                  <w:rPr>
                    <w:rFonts w:cs="Times New Roman"/>
                  </w:rPr>
                  <m:t xml:space="preserve"> and</m:t>
                </m:r>
              </m:e>
            </m:mr>
            <m:m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e>
              <m:e>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m:rPr>
                    <m:nor/>
                  </m:rPr>
                  <w:rPr>
                    <w:rFonts w:cs="Times New Roman"/>
                  </w:rPr>
                  <m:t xml:space="preserve"> for </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r>
                  <m:rPr>
                    <m:sty m:val="p"/>
                  </m:rPr>
                  <w:rPr>
                    <w:rFonts w:ascii="Cambria Math" w:hAnsi="Cambria Math" w:cs="Times New Roman"/>
                  </w:rPr>
                  <m:t>;</m:t>
                </m:r>
                <m:r>
                  <w:rPr>
                    <w:rFonts w:ascii="Cambria Math" w:hAnsi="Cambria Math" w:cs="Times New Roman"/>
                  </w:rPr>
                  <m:t>   j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e>
            </m:mr>
          </m:m>
          <m:r>
            <w:rPr>
              <w:rFonts w:ascii="Cambria Math" w:hAnsi="Cambria Math" w:cs="Times New Roman"/>
            </w:rPr>
            <m:t>  </m:t>
          </m:r>
          <m:d>
            <m:dPr>
              <m:ctrlPr>
                <w:rPr>
                  <w:rFonts w:ascii="Cambria Math" w:hAnsi="Cambria Math" w:cs="Times New Roman"/>
                </w:rPr>
              </m:ctrlPr>
            </m:dPr>
            <m:e>
              <m:r>
                <w:rPr>
                  <w:rFonts w:ascii="Cambria Math" w:hAnsi="Cambria Math" w:cs="Times New Roman"/>
                </w:rPr>
                <m:t>8</m:t>
              </m:r>
            </m:e>
          </m:d>
        </m:oMath>
      </m:oMathPara>
      <w:bookmarkEnd w:id="12"/>
    </w:p>
    <w:p w14:paraId="24469049" w14:textId="77777777" w:rsidR="00697045" w:rsidRPr="004D7AFD" w:rsidRDefault="00000000">
      <w:pPr>
        <w:pStyle w:val="FirstParagraph"/>
        <w:rPr>
          <w:rFonts w:cs="Times New Roman"/>
        </w:rPr>
      </w:pPr>
      <w:r w:rsidRPr="004D7AFD">
        <w:rPr>
          <w:rFonts w:cs="Times New Roman"/>
        </w:rPr>
        <w:t xml:space="preserve">The </w:t>
      </w:r>
      <w:r w:rsidRPr="004D7AFD">
        <w:rPr>
          <w:rFonts w:cs="Times New Roman"/>
          <w:i/>
          <w:iCs/>
        </w:rPr>
        <w:t>Aalen-Johansen-Fleming estimator</w:t>
      </w:r>
      <w:r w:rsidRPr="004D7AFD">
        <w:rPr>
          <w:rFonts w:cs="Times New Roman"/>
        </w:rPr>
        <w:t xml:space="preserve"> </w:t>
      </w:r>
      <m:oMath>
        <m:acc>
          <m:accPr>
            <m:ctrlPr>
              <w:rPr>
                <w:rFonts w:ascii="Cambria Math" w:hAnsi="Cambria Math" w:cs="Times New Roman"/>
              </w:rPr>
            </m:ctrlPr>
          </m:accPr>
          <m:e>
            <m:r>
              <w:rPr>
                <w:rFonts w:ascii="Cambria Math" w:hAnsi="Cambria Math" w:cs="Times New Roman"/>
              </w:rPr>
              <m:t>P</m:t>
            </m:r>
          </m:e>
        </m:acc>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oMath>
      <w:r w:rsidRPr="004D7AFD">
        <w:rPr>
          <w:rFonts w:cs="Times New Roman"/>
        </w:rPr>
        <w:t xml:space="preserve">, </w:t>
      </w: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&lt;</m:t>
        </m:r>
        <m:r>
          <w:rPr>
            <w:rFonts w:ascii="Cambria Math" w:hAnsi="Cambria Math" w:cs="Times New Roman"/>
          </w:rPr>
          <m:t>t</m:t>
        </m:r>
      </m:oMath>
      <w:r w:rsidRPr="004D7AFD">
        <w:rPr>
          <w:rFonts w:cs="Times New Roman"/>
        </w:rPr>
        <w:t xml:space="preserve"> for the transition probabilities is obtained by substituting for each component </w:t>
      </w:r>
      <m:oMath>
        <m:r>
          <w:rPr>
            <w:rFonts w:ascii="Cambria Math" w:hAnsi="Cambria Math" w:cs="Times New Roman"/>
          </w:rPr>
          <m:t>hj</m:t>
        </m:r>
      </m:oMath>
      <w:r w:rsidRPr="004D7AFD">
        <w:rPr>
          <w:rFonts w:cs="Times New Roman"/>
        </w:rPr>
        <w:t xml:space="preserve"> the Nelson-Aalen estimates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and then applying the product integral formula </w:t>
      </w:r>
      <w:hyperlink w:anchor="eq-eq6">
        <w:r w:rsidRPr="004D7AFD">
          <w:rPr>
            <w:rStyle w:val="Hyperlink"/>
            <w:rFonts w:cs="Times New Roman"/>
          </w:rPr>
          <w:t>Equation 3</w:t>
        </w:r>
      </w:hyperlink>
      <w:r w:rsidRPr="004D7AFD">
        <w:rPr>
          <w:rFonts w:cs="Times New Roman"/>
        </w:rPr>
        <w:t xml:space="preserve"> as follows</w:t>
      </w:r>
    </w:p>
    <w:bookmarkStart w:id="13" w:name="eq-eq10"/>
    <w:p w14:paraId="421A157E" w14:textId="77777777" w:rsidR="00697045" w:rsidRPr="004D7AFD" w:rsidRDefault="00000000">
      <w:pPr>
        <w:pStyle w:val="BodyText"/>
        <w:rPr>
          <w:rFonts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P</m:t>
              </m:r>
            </m:e>
          </m:acc>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m:t>
                  </m:r>
                </m:e>
              </m:acc>
            </m:e>
            <m:sub>
              <m:r>
                <w:rPr>
                  <w:rFonts w:ascii="Cambria Math" w:hAnsi="Cambria Math" w:cs="Times New Roman"/>
                </w:rPr>
                <m:t>s</m:t>
              </m:r>
              <m:r>
                <m:rPr>
                  <m:sty m:val="p"/>
                </m:rPr>
                <w:rPr>
                  <w:rFonts w:ascii="Cambria Math" w:hAnsi="Cambria Math" w:cs="Times New Roman"/>
                </w:rPr>
                <m:t>&lt;</m:t>
              </m:r>
              <m:r>
                <w:rPr>
                  <w:rFonts w:ascii="Cambria Math" w:hAnsi="Cambria Math" w:cs="Times New Roman"/>
                </w:rPr>
                <m:t>u</m:t>
              </m:r>
              <m:r>
                <m:rPr>
                  <m:sty m:val="p"/>
                </m:rPr>
                <w:rPr>
                  <w:rFonts w:ascii="Cambria Math" w:hAnsi="Cambria Math" w:cs="Times New Roman"/>
                </w:rPr>
                <m:t>&lt;</m:t>
              </m:r>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d</m:t>
              </m:r>
              <m:acc>
                <m:accPr>
                  <m:ctrlPr>
                    <w:rPr>
                      <w:rFonts w:ascii="Cambria Math" w:hAnsi="Cambria Math" w:cs="Times New Roman"/>
                    </w:rPr>
                  </m:ctrlPr>
                </m:accPr>
                <m:e>
                  <m:r>
                    <w:rPr>
                      <w:rFonts w:ascii="Cambria Math" w:hAnsi="Cambria Math" w:cs="Times New Roman"/>
                    </w:rPr>
                    <m:t>Λ</m:t>
                  </m:r>
                </m:e>
              </m:acc>
              <m:d>
                <m:dPr>
                  <m:ctrlPr>
                    <w:rPr>
                      <w:rFonts w:ascii="Cambria Math" w:hAnsi="Cambria Math" w:cs="Times New Roman"/>
                    </w:rPr>
                  </m:ctrlPr>
                </m:dPr>
                <m:e>
                  <m:r>
                    <w:rPr>
                      <w:rFonts w:ascii="Cambria Math" w:hAnsi="Cambria Math" w:cs="Times New Roman"/>
                    </w:rPr>
                    <m:t>u</m:t>
                  </m:r>
                </m:e>
              </m:d>
            </m:e>
          </m:d>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m:t>
                  </m:r>
                </m:e>
              </m:acc>
            </m:e>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Λ</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9</m:t>
              </m:r>
            </m:e>
          </m:d>
        </m:oMath>
      </m:oMathPara>
      <w:bookmarkEnd w:id="13"/>
    </w:p>
    <w:p w14:paraId="7DB74C80" w14:textId="77777777" w:rsidR="00697045" w:rsidRPr="004D7AFD" w:rsidRDefault="00000000">
      <w:pPr>
        <w:pStyle w:val="FirstParagraph"/>
        <w:rPr>
          <w:rFonts w:cs="Times New Roman"/>
        </w:rPr>
      </w:pPr>
      <w:r w:rsidRPr="004D7AFD">
        <w:rPr>
          <w:rFonts w:cs="Times New Roman"/>
        </w:rPr>
        <w:t xml:space="preserve">With covariates, one obtains the Cox partial likelihood estimate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hj</m:t>
            </m:r>
          </m:sub>
        </m:sSub>
      </m:oMath>
      <w:r w:rsidRPr="004D7AFD">
        <w:rPr>
          <w:rFonts w:cs="Times New Roman"/>
        </w:rPr>
        <w:t xml:space="preserve"> separately for each transition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oMath>
      <w:r w:rsidRPr="004D7AFD">
        <w:rPr>
          <w:rFonts w:cs="Times New Roman"/>
        </w:rPr>
        <w:t xml:space="preserve"> and then computes an weighted risk set defined by</w:t>
      </w:r>
    </w:p>
    <w:bookmarkStart w:id="14" w:name="eq-eq12"/>
    <w:p w14:paraId="7BFEC082" w14:textId="77777777" w:rsidR="00697045" w:rsidRPr="004D7AFD" w:rsidRDefault="00000000">
      <w:pPr>
        <w:pStyle w:val="BodyText"/>
        <w:rPr>
          <w:rFonts w:cs="Times New Roman"/>
        </w:rPr>
      </w:pPr>
      <m:oMathPara>
        <m:oMathParaPr>
          <m:jc m:val="center"/>
        </m:oMathParaP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hj</m:t>
              </m:r>
            </m:sub>
            <m:sup>
              <m:r>
                <m:rPr>
                  <m:sty m:val="p"/>
                </m:rPr>
                <w:rPr>
                  <w:rFonts w:ascii="Cambria Math" w:hAnsi="Cambria Math" w:cs="Times New Roman"/>
                </w:rPr>
                <m:t>*</m:t>
              </m:r>
            </m:sup>
          </m:sSubSup>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i</m:t>
                  </m:r>
                </m:sub>
              </m:sSub>
            </m:e>
          </m:nary>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d>
                    <m:dPr>
                      <m:ctrlPr>
                        <w:rPr>
                          <w:rFonts w:ascii="Cambria Math" w:hAnsi="Cambria Math" w:cs="Times New Roman"/>
                        </w:rPr>
                      </m:ctrlPr>
                    </m:dPr>
                    <m:e>
                      <m:r>
                        <w:rPr>
                          <w:rFonts w:ascii="Cambria Math" w:hAnsi="Cambria Math" w:cs="Times New Roman"/>
                        </w:rPr>
                        <m:t>i</m:t>
                      </m:r>
                    </m:e>
                  </m:d>
                </m:sub>
              </m:sSub>
              <m:d>
                <m:dPr>
                  <m:ctrlPr>
                    <w:rPr>
                      <w:rFonts w:ascii="Cambria Math" w:hAnsi="Cambria Math" w:cs="Times New Roman"/>
                    </w:rPr>
                  </m:ctrlPr>
                </m:dPr>
                <m:e>
                  <m:r>
                    <w:rPr>
                      <w:rFonts w:ascii="Cambria Math" w:hAnsi="Cambria Math" w:cs="Times New Roman"/>
                    </w:rPr>
                    <m:t>t</m:t>
                  </m:r>
                </m:e>
              </m:d>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hj</m:t>
                  </m:r>
                </m:sub>
              </m:sSub>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10</m:t>
              </m:r>
            </m:e>
          </m:d>
        </m:oMath>
      </m:oMathPara>
      <w:bookmarkEnd w:id="14"/>
    </w:p>
    <w:p w14:paraId="772C3EB9" w14:textId="77777777" w:rsidR="00697045" w:rsidRPr="004D7AFD" w:rsidRDefault="00000000">
      <w:pPr>
        <w:pStyle w:val="FirstParagraph"/>
        <w:rPr>
          <w:rFonts w:cs="Times New Roman"/>
        </w:rPr>
      </w:pPr>
      <w:r w:rsidRPr="004D7AFD">
        <w:rPr>
          <w:rFonts w:cs="Times New Roman"/>
        </w:rPr>
        <w:t xml:space="preserve">where </w:t>
      </w:r>
      <m:oMath>
        <m:sSub>
          <m:sSubPr>
            <m:ctrlPr>
              <w:rPr>
                <w:rFonts w:ascii="Cambria Math" w:hAnsi="Cambria Math" w:cs="Times New Roman"/>
              </w:rPr>
            </m:ctrlPr>
          </m:sSubPr>
          <m:e>
            <m:r>
              <w:rPr>
                <w:rFonts w:ascii="Cambria Math" w:hAnsi="Cambria Math" w:cs="Times New Roman"/>
              </w:rPr>
              <m:t>X</m:t>
            </m:r>
          </m:e>
          <m:sub>
            <m:d>
              <m:dPr>
                <m:ctrlPr>
                  <w:rPr>
                    <w:rFonts w:ascii="Cambria Math" w:hAnsi="Cambria Math" w:cs="Times New Roman"/>
                  </w:rPr>
                </m:ctrlPr>
              </m:dPr>
              <m:e>
                <m:r>
                  <w:rPr>
                    <w:rFonts w:ascii="Cambria Math" w:hAnsi="Cambria Math" w:cs="Times New Roman"/>
                  </w:rPr>
                  <m:t>i</m:t>
                </m:r>
              </m:e>
            </m:d>
          </m:sub>
        </m:sSub>
      </m:oMath>
      <w:r w:rsidRPr="004D7AFD">
        <w:rPr>
          <w:rFonts w:cs="Times New Roman"/>
        </w:rPr>
        <w:t xml:space="preserve"> denotes the vector of covariates of individual </w:t>
      </w:r>
      <m:oMath>
        <m:r>
          <w:rPr>
            <w:rFonts w:ascii="Cambria Math" w:hAnsi="Cambria Math" w:cs="Times New Roman"/>
          </w:rPr>
          <m:t>i</m:t>
        </m:r>
      </m:oMath>
      <w:r w:rsidRPr="004D7AFD">
        <w:rPr>
          <w:rFonts w:cs="Times New Roman"/>
        </w:rPr>
        <w:t>.</w:t>
      </w:r>
    </w:p>
    <w:p w14:paraId="776F3704" w14:textId="77777777" w:rsidR="00697045" w:rsidRPr="004D7AFD" w:rsidRDefault="00000000">
      <w:pPr>
        <w:pStyle w:val="BodyText"/>
        <w:rPr>
          <w:rFonts w:cs="Times New Roman"/>
        </w:rPr>
      </w:pPr>
      <w:r w:rsidRPr="004D7AFD">
        <w:rPr>
          <w:rFonts w:cs="Times New Roman"/>
        </w:rPr>
        <w:t xml:space="preserve">The estimate of the intensity functions with covariates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λ</m:t>
                </m:r>
              </m:e>
            </m:acc>
          </m:e>
          <m:sub>
            <m:r>
              <w:rPr>
                <w:rFonts w:ascii="Cambria Math" w:hAnsi="Cambria Math" w:cs="Times New Roman"/>
              </w:rPr>
              <m:t>hj</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X</m:t>
            </m:r>
          </m:e>
        </m:d>
      </m:oMath>
      <w:r w:rsidRPr="004D7AFD">
        <w:rPr>
          <w:rFonts w:cs="Times New Roman"/>
        </w:rPr>
        <w:t xml:space="preserve"> is obtained from </w:t>
      </w:r>
      <w:hyperlink w:anchor="eq-eq8">
        <w:r w:rsidRPr="004D7AFD">
          <w:rPr>
            <w:rStyle w:val="Hyperlink"/>
            <w:rFonts w:cs="Times New Roman"/>
          </w:rPr>
          <w:t>Equation 7</w:t>
        </w:r>
      </w:hyperlink>
      <w:r w:rsidRPr="004D7AFD">
        <w:rPr>
          <w:rFonts w:cs="Times New Roman"/>
        </w:rPr>
        <w:t xml:space="preserve"> by replacing,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with </w:t>
      </w: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hj</m:t>
            </m:r>
          </m:sub>
          <m:sup>
            <m:r>
              <m:rPr>
                <m:sty m:val="p"/>
              </m:rPr>
              <w:rPr>
                <w:rFonts w:ascii="Cambria Math" w:hAnsi="Cambria Math" w:cs="Times New Roman"/>
              </w:rPr>
              <m:t>*</m:t>
            </m:r>
          </m:sup>
        </m:sSubSup>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for each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oMath>
      <w:r w:rsidRPr="004D7AFD">
        <w:rPr>
          <w:rFonts w:cs="Times New Roman"/>
        </w:rPr>
        <w:t xml:space="preserve">. This estimate of the intensity function is known as the </w:t>
      </w:r>
      <w:r w:rsidRPr="004D7AFD">
        <w:rPr>
          <w:rFonts w:cs="Times New Roman"/>
          <w:i/>
          <w:iCs/>
        </w:rPr>
        <w:t>Breslow</w:t>
      </w:r>
      <w:r w:rsidRPr="004D7AFD">
        <w:rPr>
          <w:rFonts w:cs="Times New Roman"/>
        </w:rPr>
        <w:t xml:space="preserve"> estimate. The integrated hazard rates and the transition probabilities with regressors are estimated replicating the steps described in </w:t>
      </w:r>
      <w:hyperlink w:anchor="eq-eq8">
        <w:r w:rsidRPr="004D7AFD">
          <w:rPr>
            <w:rStyle w:val="Hyperlink"/>
            <w:rFonts w:cs="Times New Roman"/>
          </w:rPr>
          <w:t>Equation 7</w:t>
        </w:r>
      </w:hyperlink>
      <w:r w:rsidRPr="004D7AFD">
        <w:rPr>
          <w:rFonts w:cs="Times New Roman"/>
        </w:rPr>
        <w:t xml:space="preserve"> - </w:t>
      </w:r>
      <w:hyperlink w:anchor="eq-eq10">
        <w:r w:rsidRPr="004D7AFD">
          <w:rPr>
            <w:rStyle w:val="Hyperlink"/>
            <w:rFonts w:cs="Times New Roman"/>
          </w:rPr>
          <w:t>Equation 9</w:t>
        </w:r>
      </w:hyperlink>
      <w:r w:rsidRPr="004D7AFD">
        <w:rPr>
          <w:rFonts w:cs="Times New Roman"/>
        </w:rPr>
        <w:t>.</w:t>
      </w:r>
    </w:p>
    <w:p w14:paraId="009E7F61" w14:textId="77777777" w:rsidR="00697045" w:rsidRPr="004D7AFD" w:rsidRDefault="00000000">
      <w:pPr>
        <w:pStyle w:val="BodyText"/>
        <w:rPr>
          <w:rFonts w:cs="Times New Roman"/>
        </w:rPr>
      </w:pPr>
      <w:r w:rsidRPr="004D7AFD">
        <w:rPr>
          <w:rFonts w:cs="Times New Roman"/>
        </w:rPr>
        <w:t xml:space="preserve">Aalen-Johnson-Fleming estimator has nice statistical properties. For instance, using Martingale calculus, it can be shown that the estimator is asymptotically unbiased and the normalized estimate is normally distributed (i.e., the central limit theorem holds for normalized parameter estimates) with an asymptotic estimable variance-covariance matrix (see for details, </w:t>
      </w:r>
      <w:hyperlink w:anchor="ref-Aalen.etal_2008_Book">
        <w:r w:rsidRPr="004D7AFD">
          <w:rPr>
            <w:rStyle w:val="Hyperlink"/>
            <w:rFonts w:cs="Times New Roman"/>
          </w:rPr>
          <w:t>Aalen, Borgan, and Gjessing 2008</w:t>
        </w:r>
      </w:hyperlink>
      <w:r w:rsidRPr="004D7AFD">
        <w:rPr>
          <w:rFonts w:cs="Times New Roman"/>
        </w:rPr>
        <w:t xml:space="preserve">; </w:t>
      </w:r>
      <w:hyperlink w:anchor="ref-Andersen.etal_1993_Book">
        <w:r w:rsidRPr="004D7AFD">
          <w:rPr>
            <w:rStyle w:val="Hyperlink"/>
            <w:rFonts w:cs="Times New Roman"/>
          </w:rPr>
          <w:t>Andersen et al. 1993</w:t>
        </w:r>
      </w:hyperlink>
      <w:r w:rsidRPr="004D7AFD">
        <w:rPr>
          <w:rFonts w:cs="Times New Roman"/>
        </w:rPr>
        <w:t xml:space="preserve">; </w:t>
      </w:r>
      <w:hyperlink w:anchor="ref-Fleming_Harrington_2005_Book">
        <w:r w:rsidRPr="004D7AFD">
          <w:rPr>
            <w:rStyle w:val="Hyperlink"/>
            <w:rFonts w:cs="Times New Roman"/>
          </w:rPr>
          <w:t>Fleming and Harrington 2005</w:t>
        </w:r>
      </w:hyperlink>
      <w:r w:rsidRPr="004D7AFD">
        <w:rPr>
          <w:rFonts w:cs="Times New Roman"/>
        </w:rPr>
        <w:t xml:space="preserve">; </w:t>
      </w:r>
      <w:hyperlink w:anchor="ref-Wreede.etal_2010">
        <w:r w:rsidRPr="004D7AFD">
          <w:rPr>
            <w:rStyle w:val="Hyperlink"/>
            <w:rFonts w:cs="Times New Roman"/>
          </w:rPr>
          <w:t>Wreede, Fiocco, and Putter 2010</w:t>
        </w:r>
      </w:hyperlink>
      <w:r w:rsidRPr="004D7AFD">
        <w:rPr>
          <w:rFonts w:cs="Times New Roman"/>
        </w:rPr>
        <w:t>).</w:t>
      </w:r>
    </w:p>
    <w:p w14:paraId="5B896781" w14:textId="77777777" w:rsidR="00697045" w:rsidRPr="004D7AFD" w:rsidRDefault="00000000">
      <w:pPr>
        <w:pStyle w:val="Heading2"/>
        <w:rPr>
          <w:rFonts w:cs="Times New Roman"/>
        </w:rPr>
      </w:pPr>
      <w:bookmarkStart w:id="15" w:name="sec-sec3-2"/>
      <w:bookmarkEnd w:id="10"/>
      <w:r w:rsidRPr="004D7AFD">
        <w:rPr>
          <w:rFonts w:cs="Times New Roman"/>
        </w:rPr>
        <w:lastRenderedPageBreak/>
        <w:t>Unobserved Heterogeneity</w:t>
      </w:r>
    </w:p>
    <w:p w14:paraId="4154B3B4" w14:textId="77777777" w:rsidR="00697045" w:rsidRPr="004D7AFD" w:rsidRDefault="00000000">
      <w:pPr>
        <w:pStyle w:val="FirstParagraph"/>
        <w:rPr>
          <w:rFonts w:cs="Times New Roman"/>
        </w:rPr>
      </w:pPr>
      <w:r w:rsidRPr="004D7AFD">
        <w:rPr>
          <w:rFonts w:cs="Times New Roman"/>
        </w:rPr>
        <w:t xml:space="preserve">Much of the research on unobserved heterogeneity is carried out for the two-state alive-death type models, i.e., in the notation of this paper, models with </w:t>
      </w: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oMath>
      <w:r w:rsidRPr="004D7AFD">
        <w:rPr>
          <w:rFonts w:cs="Times New Roman"/>
        </w:rPr>
        <w:t xml:space="preserve">, </w:t>
      </w:r>
      <m:oMath>
        <m:r>
          <w:rPr>
            <w:rFonts w:ascii="Cambria Math" w:hAnsi="Cambria Math" w:cs="Times New Roman"/>
          </w:rPr>
          <m:t>1</m:t>
        </m:r>
        <m:r>
          <m:rPr>
            <m:sty m:val="p"/>
          </m:rPr>
          <w:rPr>
            <w:rFonts w:ascii="Cambria Math" w:hAnsi="Cambria Math" w:cs="Times New Roman"/>
          </w:rPr>
          <m:t>=</m:t>
        </m:r>
      </m:oMath>
      <w:r w:rsidRPr="004D7AFD">
        <w:rPr>
          <w:rFonts w:cs="Times New Roman"/>
        </w:rPr>
        <w:t xml:space="preserve"> alive, </w:t>
      </w:r>
      <m:oMath>
        <m:r>
          <w:rPr>
            <w:rFonts w:ascii="Cambria Math" w:hAnsi="Cambria Math" w:cs="Times New Roman"/>
          </w:rPr>
          <m:t>2</m:t>
        </m:r>
        <m:r>
          <m:rPr>
            <m:sty m:val="p"/>
          </m:rPr>
          <w:rPr>
            <w:rFonts w:ascii="Cambria Math" w:hAnsi="Cambria Math" w:cs="Times New Roman"/>
          </w:rPr>
          <m:t>=</m:t>
        </m:r>
      </m:oMath>
      <w:r w:rsidRPr="004D7AFD">
        <w:rPr>
          <w:rFonts w:cs="Times New Roman"/>
        </w:rPr>
        <w:t xml:space="preserve"> death or </w:t>
      </w:r>
      <m:oMath>
        <m:r>
          <w:rPr>
            <w:rFonts w:ascii="Cambria Math" w:hAnsi="Cambria Math" w:cs="Times New Roman"/>
          </w:rPr>
          <m:t>2</m:t>
        </m:r>
        <m:r>
          <m:rPr>
            <m:sty m:val="p"/>
          </m:rPr>
          <w:rPr>
            <w:rFonts w:ascii="Cambria Math" w:hAnsi="Cambria Math" w:cs="Times New Roman"/>
          </w:rPr>
          <m:t>=</m:t>
        </m:r>
      </m:oMath>
      <w:r w:rsidRPr="004D7AFD">
        <w:rPr>
          <w:rFonts w:cs="Times New Roman"/>
        </w:rPr>
        <w:t xml:space="preserve"> disability, treating it as an absorbing state. Very little is known for multi-state models, as these models are very difficult to handle analytically and numerically. Three types of statistical problems arise when unobserved heterogeneity is present. I discuss them in the following three subsections.</w:t>
      </w:r>
    </w:p>
    <w:p w14:paraId="697EDEA6" w14:textId="77777777" w:rsidR="00697045" w:rsidRPr="004D7AFD" w:rsidRDefault="00000000">
      <w:pPr>
        <w:pStyle w:val="Heading3"/>
        <w:rPr>
          <w:rFonts w:cs="Times New Roman"/>
        </w:rPr>
      </w:pPr>
      <w:bookmarkStart w:id="16" w:name="sec-sec3-3"/>
      <w:r w:rsidRPr="004D7AFD">
        <w:rPr>
          <w:rFonts w:cs="Times New Roman"/>
        </w:rPr>
        <w:t>Biases in parameter estimates</w:t>
      </w:r>
    </w:p>
    <w:p w14:paraId="4330737A" w14:textId="77777777" w:rsidR="00697045" w:rsidRPr="004D7AFD" w:rsidRDefault="00000000">
      <w:pPr>
        <w:pStyle w:val="FirstParagraph"/>
        <w:rPr>
          <w:rFonts w:cs="Times New Roman"/>
        </w:rPr>
      </w:pPr>
      <w:r w:rsidRPr="004D7AFD">
        <w:rPr>
          <w:rFonts w:cs="Times New Roman"/>
        </w:rPr>
        <w:t>In the presence of unobserved heterogeneity, the parameter estimates of the included covariates become asymptotically biased (</w:t>
      </w:r>
      <w:hyperlink w:anchor="ref-Vaupel.etal_1979">
        <w:r w:rsidRPr="004D7AFD">
          <w:rPr>
            <w:rStyle w:val="Hyperlink"/>
            <w:rFonts w:cs="Times New Roman"/>
          </w:rPr>
          <w:t>Vaupel, Manton, and Stallard 1979</w:t>
        </w:r>
      </w:hyperlink>
      <w:r w:rsidRPr="004D7AFD">
        <w:rPr>
          <w:rFonts w:cs="Times New Roman"/>
        </w:rPr>
        <w:t xml:space="preserve">; </w:t>
      </w:r>
      <w:hyperlink w:anchor="ref-Heckman.Singer_1984">
        <w:r w:rsidRPr="004D7AFD">
          <w:rPr>
            <w:rStyle w:val="Hyperlink"/>
            <w:rFonts w:cs="Times New Roman"/>
          </w:rPr>
          <w:t>Heckman and Singer 1984a</w:t>
        </w:r>
      </w:hyperlink>
      <w:r w:rsidRPr="004D7AFD">
        <w:rPr>
          <w:rFonts w:cs="Times New Roman"/>
        </w:rPr>
        <w:t xml:space="preserve">; </w:t>
      </w:r>
      <w:hyperlink w:anchor="ref-Aalen.etal_2014">
        <w:r w:rsidRPr="004D7AFD">
          <w:rPr>
            <w:rStyle w:val="Hyperlink"/>
            <w:rFonts w:cs="Times New Roman"/>
          </w:rPr>
          <w:t>Aalen et al. 2014</w:t>
        </w:r>
      </w:hyperlink>
      <w:r w:rsidRPr="004D7AFD">
        <w:rPr>
          <w:rFonts w:cs="Times New Roman"/>
        </w:rPr>
        <w:t>). To correct for the unobserved heterogeneity bias in the two-state framework, a few studies incorporated unobserved heterogeneity in certain ways to estimate the parameters of fixed effects and random effects. I briefly describe the Ripatti and Palmgren (</w:t>
      </w:r>
      <w:hyperlink w:anchor="ref-Ripatti_2000">
        <w:r w:rsidRPr="004D7AFD">
          <w:rPr>
            <w:rStyle w:val="Hyperlink"/>
            <w:rFonts w:cs="Times New Roman"/>
          </w:rPr>
          <w:t>2000</w:t>
        </w:r>
      </w:hyperlink>
      <w:r w:rsidRPr="004D7AFD">
        <w:rPr>
          <w:rFonts w:cs="Times New Roman"/>
        </w:rPr>
        <w:t>) method which I extend to the multi-state framework of this paper. In a two-state model, Ripatti and Palmgren (</w:t>
      </w:r>
      <w:hyperlink w:anchor="ref-Ripatti_2000">
        <w:r w:rsidRPr="004D7AFD">
          <w:rPr>
            <w:rStyle w:val="Hyperlink"/>
            <w:rFonts w:cs="Times New Roman"/>
          </w:rPr>
          <w:t>2000</w:t>
        </w:r>
      </w:hyperlink>
      <w:r w:rsidRPr="004D7AFD">
        <w:rPr>
          <w:rFonts w:cs="Times New Roman"/>
        </w:rPr>
        <w:t xml:space="preserve">) assume the frailty specification to be as in the last equality of </w:t>
      </w:r>
      <w:hyperlink w:anchor="eq-eq7">
        <w:r w:rsidRPr="004D7AFD">
          <w:rPr>
            <w:rStyle w:val="Hyperlink"/>
            <w:rFonts w:cs="Times New Roman"/>
          </w:rPr>
          <w:t>Equation 6</w:t>
        </w:r>
      </w:hyperlink>
      <w:r w:rsidRPr="004D7AFD">
        <w:rPr>
          <w:rFonts w:cs="Times New Roman"/>
        </w:rPr>
        <w:t xml:space="preserve">. They assume that the frailty random variable </w:t>
      </w:r>
      <m:oMath>
        <m:r>
          <w:rPr>
            <w:rFonts w:ascii="Cambria Math" w:hAnsi="Cambria Math" w:cs="Times New Roman"/>
          </w:rPr>
          <m:t>V</m:t>
        </m:r>
      </m:oMath>
      <w:r w:rsidRPr="004D7AFD">
        <w:rPr>
          <w:rFonts w:cs="Times New Roman"/>
        </w:rPr>
        <w:t xml:space="preserve"> is log-normally distributed with mean </w:t>
      </w:r>
      <m:oMath>
        <m:r>
          <w:rPr>
            <w:rFonts w:ascii="Cambria Math" w:hAnsi="Cambria Math" w:cs="Times New Roman"/>
          </w:rPr>
          <m:t>1</m:t>
        </m:r>
      </m:oMath>
      <w:r w:rsidRPr="004D7AFD">
        <w:rPr>
          <w:rFonts w:cs="Times New Roman"/>
        </w:rPr>
        <w:t xml:space="preserve"> and variance </w:t>
      </w:r>
      <m:oMath>
        <m:r>
          <w:rPr>
            <w:rFonts w:ascii="Cambria Math" w:hAnsi="Cambria Math" w:cs="Times New Roman"/>
          </w:rPr>
          <m:t>θ</m:t>
        </m:r>
      </m:oMath>
      <w:r w:rsidRPr="004D7AFD">
        <w:rPr>
          <w:rFonts w:cs="Times New Roman"/>
        </w:rPr>
        <w:t>. They apply Laplace approximation to the marginal likelihood function</w:t>
      </w:r>
      <w:r w:rsidRPr="004D7AFD">
        <w:rPr>
          <w:rStyle w:val="FootnoteReference"/>
          <w:rFonts w:cs="Times New Roman"/>
        </w:rPr>
        <w:footnoteReference w:id="7"/>
      </w:r>
      <w:r w:rsidRPr="004D7AFD">
        <w:rPr>
          <w:rFonts w:cs="Times New Roman"/>
        </w:rPr>
        <w:t xml:space="preserve"> of the sample. They decompose the approximated likelihood function into two components, one component allows one to apply the penalized Cox partial likelihood procedure to estimate </w:t>
      </w:r>
      <m:oMath>
        <m:r>
          <w:rPr>
            <w:rFonts w:ascii="Cambria Math" w:hAnsi="Cambria Math" w:cs="Times New Roman"/>
          </w:rPr>
          <m:t>β</m:t>
        </m:r>
      </m:oMath>
      <w:r w:rsidRPr="004D7AFD">
        <w:rPr>
          <w:rFonts w:cs="Times New Roman"/>
        </w:rPr>
        <w:t xml:space="preserve">’s, </w:t>
      </w:r>
      <m:oMath>
        <m:r>
          <w:rPr>
            <w:rFonts w:ascii="Cambria Math" w:hAnsi="Cambria Math" w:cs="Times New Roman"/>
          </w:rPr>
          <m:t>b</m:t>
        </m:r>
      </m:oMath>
      <w:r w:rsidRPr="004D7AFD">
        <w:rPr>
          <w:rFonts w:cs="Times New Roman"/>
        </w:rPr>
        <w:t xml:space="preserve">’s and their standard errors, given </w:t>
      </w:r>
      <m:oMath>
        <m:r>
          <w:rPr>
            <w:rFonts w:ascii="Cambria Math" w:hAnsi="Cambria Math" w:cs="Times New Roman"/>
          </w:rPr>
          <m:t>θ</m:t>
        </m:r>
      </m:oMath>
      <w:r w:rsidRPr="004D7AFD">
        <w:rPr>
          <w:rFonts w:cs="Times New Roman"/>
        </w:rPr>
        <w:t xml:space="preserve"> fixed, and using the other component, they estimate </w:t>
      </w:r>
      <m:oMath>
        <m:r>
          <w:rPr>
            <w:rFonts w:ascii="Cambria Math" w:hAnsi="Cambria Math" w:cs="Times New Roman"/>
          </w:rPr>
          <m:t>θ</m:t>
        </m:r>
      </m:oMath>
      <w:r w:rsidRPr="004D7AFD">
        <w:rPr>
          <w:rFonts w:cs="Times New Roman"/>
        </w:rPr>
        <w:t xml:space="preserve"> and its standard errors given the estimated </w:t>
      </w:r>
      <m:oMath>
        <m:r>
          <w:rPr>
            <w:rFonts w:ascii="Cambria Math" w:hAnsi="Cambria Math" w:cs="Times New Roman"/>
          </w:rPr>
          <m:t>β</m:t>
        </m:r>
      </m:oMath>
      <w:r w:rsidRPr="004D7AFD">
        <w:rPr>
          <w:rFonts w:cs="Times New Roman"/>
        </w:rPr>
        <w:t xml:space="preserve">’s and </w:t>
      </w:r>
      <m:oMath>
        <m:r>
          <w:rPr>
            <w:rFonts w:ascii="Cambria Math" w:hAnsi="Cambria Math" w:cs="Times New Roman"/>
          </w:rPr>
          <m:t>b</m:t>
        </m:r>
      </m:oMath>
      <w:r w:rsidRPr="004D7AFD">
        <w:rPr>
          <w:rFonts w:cs="Times New Roman"/>
        </w:rPr>
        <w:t xml:space="preserve">’s fixed. They alternate the two-steps iteration steps until convergence. One fallout of their estimation procedure is that the estimated standard errors of the </w:t>
      </w:r>
      <m:oMath>
        <m:r>
          <w:rPr>
            <w:rFonts w:ascii="Cambria Math" w:hAnsi="Cambria Math" w:cs="Times New Roman"/>
          </w:rPr>
          <m:t>β</m:t>
        </m:r>
      </m:oMath>
      <w:r w:rsidRPr="004D7AFD">
        <w:rPr>
          <w:rFonts w:cs="Times New Roman"/>
        </w:rPr>
        <w:t xml:space="preserve">’s and </w:t>
      </w:r>
      <m:oMath>
        <m:r>
          <w:rPr>
            <w:rFonts w:ascii="Cambria Math" w:hAnsi="Cambria Math" w:cs="Times New Roman"/>
          </w:rPr>
          <m:t>b</m:t>
        </m:r>
      </m:oMath>
      <w:r w:rsidRPr="004D7AFD">
        <w:rPr>
          <w:rFonts w:cs="Times New Roman"/>
        </w:rPr>
        <w:t xml:space="preserve">’s are underestimated as the penalized partial likelihood for estimating those parameters and their standard errors treats the value of </w:t>
      </w:r>
      <m:oMath>
        <m:r>
          <w:rPr>
            <w:rFonts w:ascii="Cambria Math" w:hAnsi="Cambria Math" w:cs="Times New Roman"/>
          </w:rPr>
          <m:t>θ</m:t>
        </m:r>
      </m:oMath>
      <w:r w:rsidRPr="004D7AFD">
        <w:rPr>
          <w:rFonts w:cs="Times New Roman"/>
        </w:rPr>
        <w:t xml:space="preserve"> fixed. In their simulation exercise, they showed that the biases </w:t>
      </w:r>
      <w:r w:rsidRPr="004D7AFD">
        <w:rPr>
          <w:rFonts w:cs="Times New Roman"/>
        </w:rPr>
        <w:lastRenderedPageBreak/>
        <w:t xml:space="preserve">are small. This estimation procedure is implemented in the R package </w:t>
      </w:r>
      <w:r w:rsidRPr="004D7AFD">
        <w:rPr>
          <w:rStyle w:val="VerbatimChar"/>
          <w:rFonts w:ascii="Times New Roman" w:hAnsi="Times New Roman" w:cs="Times New Roman"/>
        </w:rPr>
        <w:t>coxme</w:t>
      </w:r>
      <w:r w:rsidRPr="004D7AFD">
        <w:rPr>
          <w:rFonts w:cs="Times New Roman"/>
        </w:rPr>
        <w:t xml:space="preserve"> by Therneau (</w:t>
      </w:r>
      <w:hyperlink w:anchor="ref-Therneau_2022">
        <w:r w:rsidRPr="004D7AFD">
          <w:rPr>
            <w:rStyle w:val="Hyperlink"/>
            <w:rFonts w:cs="Times New Roman"/>
          </w:rPr>
          <w:t>2022</w:t>
        </w:r>
      </w:hyperlink>
      <w:r w:rsidRPr="004D7AFD">
        <w:rPr>
          <w:rFonts w:cs="Times New Roman"/>
        </w:rPr>
        <w:t xml:space="preserve">). The package also provides a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4D7AFD">
        <w:rPr>
          <w:rFonts w:cs="Times New Roman"/>
        </w:rPr>
        <w:t xml:space="preserve"> statistic to test the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0</m:t>
        </m:r>
      </m:oMath>
      <w:r w:rsidRPr="004D7AFD">
        <w:rPr>
          <w:rFonts w:cs="Times New Roman"/>
        </w:rPr>
        <w:t>.</w:t>
      </w:r>
      <w:r w:rsidRPr="004D7AFD">
        <w:rPr>
          <w:rStyle w:val="FootnoteReference"/>
          <w:rFonts w:cs="Times New Roman"/>
        </w:rPr>
        <w:footnoteReference w:id="8"/>
      </w:r>
    </w:p>
    <w:p w14:paraId="34CADBC0" w14:textId="77777777" w:rsidR="00697045" w:rsidRPr="004D7AFD" w:rsidRDefault="00000000">
      <w:pPr>
        <w:pStyle w:val="BodyText"/>
        <w:rPr>
          <w:rFonts w:cs="Times New Roman"/>
        </w:rPr>
      </w:pPr>
      <w:r w:rsidRPr="004D7AFD">
        <w:rPr>
          <w:rFonts w:cs="Times New Roman"/>
        </w:rPr>
        <w:t xml:space="preserve">In the multi-state framework, one has a vector of frailties </w:t>
      </w:r>
      <m:oMath>
        <m:r>
          <w:rPr>
            <w:rFonts w:ascii="Cambria Math" w:hAnsi="Cambria Math" w:cs="Times New Roman"/>
          </w:rPr>
          <m:t>B</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hj</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h</m:t>
            </m:r>
          </m:e>
        </m:d>
      </m:oMath>
      <w:r w:rsidRPr="004D7AFD">
        <w:rPr>
          <w:rFonts w:cs="Times New Roman"/>
        </w:rPr>
        <w:t xml:space="preserve">, each component corresponds to a transition. No estimation procedures are available for general distribution of </w:t>
      </w:r>
      <m:oMath>
        <m:r>
          <w:rPr>
            <w:rFonts w:ascii="Cambria Math" w:hAnsi="Cambria Math" w:cs="Times New Roman"/>
          </w:rPr>
          <m:t>B</m:t>
        </m:r>
      </m:oMath>
      <w:r w:rsidRPr="004D7AFD">
        <w:rPr>
          <w:rFonts w:cs="Times New Roman"/>
        </w:rPr>
        <w:t>. As a first step, I consider two types of frailty distributions that enable one to apply the Ripatti and Palmgren (</w:t>
      </w:r>
      <w:hyperlink w:anchor="ref-Ripatti_2000">
        <w:r w:rsidRPr="004D7AFD">
          <w:rPr>
            <w:rStyle w:val="Hyperlink"/>
            <w:rFonts w:cs="Times New Roman"/>
          </w:rPr>
          <w:t>2000</w:t>
        </w:r>
      </w:hyperlink>
      <w:r w:rsidRPr="004D7AFD">
        <w:rPr>
          <w:rFonts w:cs="Times New Roman"/>
        </w:rPr>
        <w:t>) technique and the Therneau (</w:t>
      </w:r>
      <w:hyperlink w:anchor="ref-Therneau_2022">
        <w:r w:rsidRPr="004D7AFD">
          <w:rPr>
            <w:rStyle w:val="Hyperlink"/>
            <w:rFonts w:cs="Times New Roman"/>
          </w:rPr>
          <w:t>2022</w:t>
        </w:r>
      </w:hyperlink>
      <w:r w:rsidRPr="004D7AFD">
        <w:rPr>
          <w:rFonts w:cs="Times New Roman"/>
        </w:rPr>
        <w:t xml:space="preserve">) </w:t>
      </w:r>
      <w:r w:rsidRPr="004D7AFD">
        <w:rPr>
          <w:rStyle w:val="VerbatimChar"/>
          <w:rFonts w:ascii="Times New Roman" w:hAnsi="Times New Roman" w:cs="Times New Roman"/>
        </w:rPr>
        <w:t>coxme</w:t>
      </w:r>
      <w:r w:rsidRPr="004D7AFD">
        <w:rPr>
          <w:rFonts w:cs="Times New Roman"/>
        </w:rPr>
        <w:t xml:space="preserve"> package to get parameter estimates for the multi-state model. In one specification, I assume that the frailty random effects are independent across transitions. This allows one to apply the Ripatti and Palmgren (</w:t>
      </w:r>
      <w:hyperlink w:anchor="ref-Ripatti_2000">
        <w:r w:rsidRPr="004D7AFD">
          <w:rPr>
            <w:rStyle w:val="Hyperlink"/>
            <w:rFonts w:cs="Times New Roman"/>
          </w:rPr>
          <w:t>2000</w:t>
        </w:r>
      </w:hyperlink>
      <w:r w:rsidRPr="004D7AFD">
        <w:rPr>
          <w:rFonts w:cs="Times New Roman"/>
        </w:rPr>
        <w:t xml:space="preserve">) technique to each transition separately. These parameter estimates together with the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4D7AFD">
        <w:rPr>
          <w:rFonts w:cs="Times New Roman"/>
        </w:rPr>
        <w:t xml:space="preserve"> test statistics for each transition are reported in </w:t>
      </w:r>
      <w:hyperlink w:anchor="tbl-table8">
        <w:r w:rsidRPr="004D7AFD">
          <w:rPr>
            <w:rStyle w:val="Hyperlink"/>
            <w:rFonts w:cs="Times New Roman"/>
          </w:rPr>
          <w:t>Table 4</w:t>
        </w:r>
      </w:hyperlink>
      <w:r w:rsidRPr="004D7AFD">
        <w:rPr>
          <w:rFonts w:cs="Times New Roman"/>
        </w:rPr>
        <w:t xml:space="preserve"> and </w:t>
      </w:r>
      <w:hyperlink w:anchor="tbl-table9">
        <w:r w:rsidRPr="004D7AFD">
          <w:rPr>
            <w:rStyle w:val="Hyperlink"/>
            <w:rFonts w:cs="Times New Roman"/>
          </w:rPr>
          <w:t>Table 5</w:t>
        </w:r>
      </w:hyperlink>
      <w:r w:rsidRPr="004D7AFD">
        <w:rPr>
          <w:rFonts w:cs="Times New Roman"/>
        </w:rPr>
        <w:t xml:space="preserve">. I found that the parameter estimates are all slightly higher in magnitude compared to the parameter estimates of the Cox models without including unobserved heterogeneity term. In the second specification, I assume that the random effects across transitions are identical, i.e., a common or shared random effect across all transitions for each individual. These parameter estimates are used for the policy analysis of section </w:t>
      </w:r>
      <w:hyperlink w:anchor="sec-sec7">
        <w:r w:rsidRPr="004D7AFD">
          <w:rPr>
            <w:rStyle w:val="Hyperlink"/>
            <w:rFonts w:cs="Times New Roman"/>
          </w:rPr>
          <w:t>Section 7</w:t>
        </w:r>
      </w:hyperlink>
      <w:r w:rsidRPr="004D7AFD">
        <w:rPr>
          <w:rFonts w:cs="Times New Roman"/>
        </w:rPr>
        <w:t xml:space="preserve"> and the estimates of the fixed effects and the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4D7AFD">
        <w:rPr>
          <w:rFonts w:cs="Times New Roman"/>
        </w:rPr>
        <w:t xml:space="preserve"> statistic to test if the common frailty has variance </w:t>
      </w:r>
      <m:oMath>
        <m:r>
          <w:rPr>
            <w:rFonts w:ascii="Cambria Math" w:hAnsi="Cambria Math" w:cs="Times New Roman"/>
          </w:rPr>
          <m:t>0</m:t>
        </m:r>
      </m:oMath>
      <w:r w:rsidRPr="004D7AFD">
        <w:rPr>
          <w:rFonts w:cs="Times New Roman"/>
        </w:rPr>
        <w:t xml:space="preserve"> are reported in </w:t>
      </w:r>
      <w:hyperlink w:anchor="tbl-table9app">
        <w:r w:rsidRPr="004D7AFD">
          <w:rPr>
            <w:rStyle w:val="Hyperlink"/>
            <w:rFonts w:cs="Times New Roman"/>
          </w:rPr>
          <w:t>Table 8</w:t>
        </w:r>
      </w:hyperlink>
      <w:r w:rsidRPr="004D7AFD">
        <w:rPr>
          <w:rFonts w:cs="Times New Roman"/>
        </w:rPr>
        <w:t xml:space="preserve">. Again, I found that the estimates for </w:t>
      </w:r>
      <m:oMath>
        <m:r>
          <w:rPr>
            <w:rFonts w:ascii="Cambria Math" w:hAnsi="Cambria Math" w:cs="Times New Roman"/>
          </w:rPr>
          <m:t>β</m:t>
        </m:r>
      </m:oMath>
      <w:r w:rsidRPr="004D7AFD">
        <w:rPr>
          <w:rFonts w:cs="Times New Roman"/>
        </w:rPr>
        <w:t>’s have slightly higher magnitude than the Cox partial likelihood estimates without unobserved heterogeneity (not reported).</w:t>
      </w:r>
    </w:p>
    <w:p w14:paraId="655D12B7" w14:textId="77777777" w:rsidR="00697045" w:rsidRPr="004D7AFD" w:rsidRDefault="00000000">
      <w:pPr>
        <w:pStyle w:val="Heading3"/>
        <w:rPr>
          <w:rFonts w:cs="Times New Roman"/>
        </w:rPr>
      </w:pPr>
      <w:bookmarkStart w:id="17" w:name="X12bd5385c6a2c986fee38c18cb70c4de3fe081e"/>
      <w:bookmarkEnd w:id="16"/>
      <w:r w:rsidRPr="004D7AFD">
        <w:rPr>
          <w:rFonts w:cs="Times New Roman"/>
        </w:rPr>
        <w:t>Dynamic selection and mixed transition intensity and transition probabilities</w:t>
      </w:r>
    </w:p>
    <w:p w14:paraId="3EA3D8A3" w14:textId="77777777" w:rsidR="00697045" w:rsidRPr="004D7AFD" w:rsidRDefault="00000000">
      <w:pPr>
        <w:pStyle w:val="FirstParagraph"/>
        <w:rPr>
          <w:rFonts w:cs="Times New Roman"/>
        </w:rPr>
      </w:pPr>
      <w:r w:rsidRPr="004D7AFD">
        <w:rPr>
          <w:rFonts w:cs="Times New Roman"/>
        </w:rPr>
        <w:t xml:space="preserve">The second problem with unobserved heterogeneity is that the estimates of transition intensities and transition probabilities, computed even with the bias corrected regression coefficients of the covariates in </w:t>
      </w:r>
      <w:hyperlink w:anchor="eq-eq8">
        <w:r w:rsidRPr="004D7AFD">
          <w:rPr>
            <w:rStyle w:val="Hyperlink"/>
            <w:rFonts w:cs="Times New Roman"/>
          </w:rPr>
          <w:t>Equation 7</w:t>
        </w:r>
      </w:hyperlink>
      <w:r w:rsidRPr="004D7AFD">
        <w:rPr>
          <w:rFonts w:cs="Times New Roman"/>
        </w:rPr>
        <w:t xml:space="preserve"> - </w:t>
      </w:r>
      <w:hyperlink w:anchor="eq-eq12">
        <w:r w:rsidRPr="004D7AFD">
          <w:rPr>
            <w:rStyle w:val="Hyperlink"/>
            <w:rFonts w:cs="Times New Roman"/>
          </w:rPr>
          <w:t>Equation 10</w:t>
        </w:r>
      </w:hyperlink>
      <w:r w:rsidRPr="004D7AFD">
        <w:rPr>
          <w:rFonts w:cs="Times New Roman"/>
        </w:rPr>
        <w:t xml:space="preserve">, are for an average individual, i.e., for an individual with frailty level equals the population average frailty level. They will give biased estimates of the population average of individual effects because of the dynamic selection problem. The higher is the variance of the random effect, the higher is the bias. I explain it with the above </w:t>
      </w:r>
      <w:r w:rsidRPr="004D7AFD">
        <w:rPr>
          <w:rFonts w:cs="Times New Roman"/>
        </w:rPr>
        <w:lastRenderedPageBreak/>
        <w:t xml:space="preserve">two-state model. Let the Laplace transform of the frailty random variable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12</m:t>
            </m:r>
          </m:sub>
        </m:sSub>
      </m:oMath>
      <w:r w:rsidRPr="004D7AFD">
        <w:rPr>
          <w:rFonts w:cs="Times New Roman"/>
        </w:rPr>
        <w:t xml:space="preserve"> be denoted as </w:t>
      </w:r>
      <m:oMath>
        <m:sSub>
          <m:sSubPr>
            <m:ctrlPr>
              <w:rPr>
                <w:rFonts w:ascii="Cambria Math" w:hAnsi="Cambria Math" w:cs="Times New Roman"/>
              </w:rPr>
            </m:ctrlPr>
          </m:sSubPr>
          <m:e>
            <m:r>
              <m:rPr>
                <m:scr m:val="script"/>
                <m:sty m:val="p"/>
              </m:rPr>
              <w:rPr>
                <w:rFonts w:ascii="Cambria Math" w:hAnsi="Cambria Math" w:cs="Times New Roman"/>
              </w:rPr>
              <m:t>L</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c</m:t>
            </m:r>
          </m:e>
        </m:d>
        <m:limUpp>
          <m:limUppPr>
            <m:ctrlPr>
              <w:rPr>
                <w:rFonts w:ascii="Cambria Math" w:hAnsi="Cambria Math" w:cs="Times New Roman"/>
              </w:rPr>
            </m:ctrlPr>
          </m:limUppPr>
          <m:e>
            <m:r>
              <m:rPr>
                <m:sty m:val="p"/>
              </m:rPr>
              <w:rPr>
                <w:rFonts w:ascii="Cambria Math" w:hAnsi="Cambria Math" w:cs="Times New Roman"/>
              </w:rPr>
              <m:t>=</m:t>
            </m:r>
          </m:e>
          <m:lim>
            <m:r>
              <w:rPr>
                <w:rFonts w:ascii="Cambria Math" w:hAnsi="Cambria Math" w:cs="Times New Roman"/>
              </w:rPr>
              <m:t>def</m:t>
            </m:r>
          </m:lim>
        </m:limUpp>
        <m:nary>
          <m:naryPr>
            <m:limLoc m:val="subSup"/>
            <m:ctrlPr>
              <w:rPr>
                <w:rFonts w:ascii="Cambria Math" w:hAnsi="Cambria Math" w:cs="Times New Roman"/>
              </w:rPr>
            </m:ctrlPr>
          </m:naryPr>
          <m:sub>
            <m:r>
              <w:rPr>
                <w:rFonts w:ascii="Cambria Math" w:hAnsi="Cambria Math" w:cs="Times New Roman"/>
              </w:rPr>
              <m:t>0</m:t>
            </m:r>
          </m:sub>
          <m:sup>
            <m:r>
              <m:rPr>
                <m:sty m:val="p"/>
              </m:rP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cv</m:t>
                </m:r>
              </m:sup>
            </m:sSup>
          </m:e>
        </m:nary>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v</m:t>
            </m:r>
            <m:r>
              <m:rPr>
                <m:sty m:val="p"/>
              </m:rPr>
              <w:rPr>
                <w:rFonts w:ascii="Cambria Math" w:hAnsi="Cambria Math" w:cs="Times New Roman"/>
              </w:rPr>
              <m:t>;</m:t>
            </m:r>
            <m:r>
              <w:rPr>
                <w:rFonts w:ascii="Cambria Math" w:hAnsi="Cambria Math" w:cs="Times New Roman"/>
              </w:rPr>
              <m:t>θ</m:t>
            </m:r>
          </m:e>
        </m:d>
      </m:oMath>
      <w:r w:rsidRPr="004D7AFD">
        <w:rPr>
          <w:rFonts w:cs="Times New Roman"/>
        </w:rPr>
        <w:t xml:space="preserve">, where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v</m:t>
            </m:r>
            <m:r>
              <m:rPr>
                <m:sty m:val="p"/>
              </m:rPr>
              <w:rPr>
                <w:rFonts w:ascii="Cambria Math" w:hAnsi="Cambria Math" w:cs="Times New Roman"/>
              </w:rPr>
              <m:t>;</m:t>
            </m:r>
            <m:r>
              <w:rPr>
                <w:rFonts w:ascii="Cambria Math" w:hAnsi="Cambria Math" w:cs="Times New Roman"/>
              </w:rPr>
              <m:t>θ</m:t>
            </m:r>
          </m:e>
        </m:d>
      </m:oMath>
      <w:r w:rsidRPr="004D7AFD">
        <w:rPr>
          <w:rFonts w:cs="Times New Roman"/>
        </w:rPr>
        <w:t xml:space="preserve"> is the distribution function of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12</m:t>
            </m:r>
          </m:sub>
        </m:sSub>
      </m:oMath>
      <w:r w:rsidRPr="004D7AFD">
        <w:rPr>
          <w:rFonts w:cs="Times New Roman"/>
        </w:rPr>
        <w:t>.</w:t>
      </w:r>
      <w:r w:rsidRPr="004D7AFD">
        <w:rPr>
          <w:rStyle w:val="FootnoteReference"/>
          <w:rFonts w:cs="Times New Roman"/>
        </w:rPr>
        <w:footnoteReference w:id="9"/>
      </w:r>
      <w:r w:rsidRPr="004D7AFD">
        <w:rPr>
          <w:rFonts w:cs="Times New Roman"/>
        </w:rPr>
        <w:t xml:space="preserve"> I use the superscript </w:t>
      </w:r>
      <m:oMath>
        <m:r>
          <w:rPr>
            <w:rFonts w:ascii="Cambria Math" w:hAnsi="Cambria Math" w:cs="Times New Roman"/>
          </w:rPr>
          <m:t>m</m:t>
        </m:r>
      </m:oMath>
      <w:r w:rsidRPr="004D7AFD">
        <w:rPr>
          <w:rFonts w:cs="Times New Roman"/>
        </w:rPr>
        <w:t xml:space="preserve"> on an entity to represent the entity’s marginal distribution or the population average. Note that the survival function of an individual with unobserved heterogeneity or frailty level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12</m:t>
            </m:r>
          </m:sub>
        </m:sSub>
        <m:r>
          <m:rPr>
            <m:sty m:val="p"/>
          </m:rPr>
          <w:rPr>
            <w:rFonts w:ascii="Cambria Math" w:hAnsi="Cambria Math" w:cs="Times New Roman"/>
          </w:rPr>
          <m:t>=</m:t>
        </m:r>
        <m:r>
          <w:rPr>
            <w:rFonts w:ascii="Cambria Math" w:hAnsi="Cambria Math" w:cs="Times New Roman"/>
          </w:rPr>
          <m:t>v</m:t>
        </m:r>
      </m:oMath>
      <w:r w:rsidRPr="004D7AFD">
        <w:rPr>
          <w:rFonts w:cs="Times New Roman"/>
        </w:rPr>
        <w:t xml:space="preserve"> is given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11</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v</m:t>
            </m:r>
          </m:e>
        </m:d>
        <m:r>
          <m:rPr>
            <m:sty m:val="p"/>
          </m:rPr>
          <w:rPr>
            <w:rFonts w:ascii="Cambria Math" w:hAnsi="Cambria Math" w:cs="Times New Roman"/>
          </w:rPr>
          <m:t>=</m:t>
        </m:r>
        <m: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v</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e>
        </m:d>
      </m:oMath>
      <w:r w:rsidRPr="004D7AFD">
        <w:rPr>
          <w:rFonts w:cs="Times New Roman"/>
        </w:rPr>
        <w:t>. The population survival function is a mixture of the individual survival functions and is given by</w:t>
      </w:r>
    </w:p>
    <w:bookmarkStart w:id="18" w:name="eq-eq14"/>
    <w:p w14:paraId="2EBABD1B" w14:textId="77777777" w:rsidR="00697045" w:rsidRPr="004D7AFD" w:rsidRDefault="00000000">
      <w:pPr>
        <w:pStyle w:val="BodyText"/>
        <w:rPr>
          <w:rFonts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11</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nary>
            <m:naryPr>
              <m:limLoc m:val="subSup"/>
              <m:ctrlPr>
                <w:rPr>
                  <w:rFonts w:ascii="Cambria Math" w:hAnsi="Cambria Math" w:cs="Times New Roman"/>
                </w:rPr>
              </m:ctrlPr>
            </m:naryPr>
            <m:sub>
              <m:r>
                <w:rPr>
                  <w:rFonts w:ascii="Cambria Math" w:hAnsi="Cambria Math" w:cs="Times New Roman"/>
                </w:rPr>
                <m:t>0</m:t>
              </m:r>
            </m:sub>
            <m:sup>
              <m:r>
                <m:rPr>
                  <m:sty m:val="p"/>
                </m:rPr>
                <w:rPr>
                  <w:rFonts w:ascii="Cambria Math" w:hAnsi="Cambria Math" w:cs="Times New Roman"/>
                </w:rPr>
                <m:t>∞</m:t>
              </m:r>
            </m:sup>
            <m:e>
              <m:r>
                <w:rPr>
                  <w:rFonts w:ascii="Cambria Math" w:hAnsi="Cambria Math" w:cs="Times New Roman"/>
                </w:rPr>
                <m:t>e</m:t>
              </m:r>
            </m:e>
          </m:nary>
          <m:r>
            <w:rPr>
              <w:rFonts w:ascii="Cambria Math" w:hAnsi="Cambria Math" w:cs="Times New Roman"/>
            </w:rPr>
            <m:t>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v</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e>
          </m:d>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v</m:t>
              </m:r>
              <m:r>
                <m:rPr>
                  <m:sty m:val="p"/>
                </m:rPr>
                <w:rPr>
                  <w:rFonts w:ascii="Cambria Math" w:hAnsi="Cambria Math" w:cs="Times New Roman"/>
                </w:rPr>
                <m:t>;</m:t>
              </m:r>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L</m:t>
              </m:r>
            </m:e>
            <m:sub>
              <m:r>
                <w:rPr>
                  <w:rFonts w:ascii="Cambria Math" w:hAnsi="Cambria Math" w:cs="Times New Roman"/>
                </w:rPr>
                <m:t>12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e>
          </m:d>
          <m:r>
            <w:rPr>
              <w:rFonts w:ascii="Cambria Math" w:hAnsi="Cambria Math" w:cs="Times New Roman"/>
            </w:rPr>
            <m:t>  </m:t>
          </m:r>
          <m:d>
            <m:dPr>
              <m:ctrlPr>
                <w:rPr>
                  <w:rFonts w:ascii="Cambria Math" w:hAnsi="Cambria Math" w:cs="Times New Roman"/>
                </w:rPr>
              </m:ctrlPr>
            </m:dPr>
            <m:e>
              <m:r>
                <w:rPr>
                  <w:rFonts w:ascii="Cambria Math" w:hAnsi="Cambria Math" w:cs="Times New Roman"/>
                </w:rPr>
                <m:t>11</m:t>
              </m:r>
            </m:e>
          </m:d>
        </m:oMath>
      </m:oMathPara>
      <w:bookmarkEnd w:id="18"/>
    </w:p>
    <w:p w14:paraId="4CF5911F" w14:textId="77777777" w:rsidR="00697045" w:rsidRPr="004D7AFD" w:rsidRDefault="00000000">
      <w:pPr>
        <w:pStyle w:val="FirstParagraph"/>
        <w:rPr>
          <w:rFonts w:cs="Times New Roman"/>
        </w:rPr>
      </w:pPr>
      <w:r w:rsidRPr="004D7AFD">
        <w:rPr>
          <w:rFonts w:cs="Times New Roman"/>
        </w:rPr>
        <w:t>The population-average transition intensity is given by</w:t>
      </w:r>
    </w:p>
    <w:bookmarkStart w:id="19" w:name="eq-eq15"/>
    <w:p w14:paraId="03CD23B6" w14:textId="77777777" w:rsidR="00697045" w:rsidRPr="004D7AFD" w:rsidRDefault="00000000">
      <w:pPr>
        <w:pStyle w:val="BodyText"/>
        <w:rPr>
          <w:rFonts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e>
              <m:e>
                <m:r>
                  <m:rPr>
                    <m:sty m:val="p"/>
                  </m:rPr>
                  <w:rPr>
                    <w:rFonts w:ascii="Cambria Math" w:hAnsi="Cambria Math" w:cs="Times New Roman"/>
                  </w:rPr>
                  <m:t>≡-</m:t>
                </m:r>
                <m:r>
                  <w:rPr>
                    <w:rFonts w:ascii="Cambria Math" w:hAnsi="Cambria Math" w:cs="Times New Roman"/>
                  </w:rPr>
                  <m:t>dln</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11</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f>
                  <m:fPr>
                    <m:ctrlPr>
                      <w:rPr>
                        <w:rFonts w:ascii="Cambria Math" w:hAnsi="Cambria Math" w:cs="Times New Roman"/>
                      </w:rPr>
                    </m:ctrlPr>
                  </m:fPr>
                  <m:num>
                    <m:sSubSup>
                      <m:sSubSupPr>
                        <m:ctrlPr>
                          <w:rPr>
                            <w:rFonts w:ascii="Cambria Math" w:hAnsi="Cambria Math" w:cs="Times New Roman"/>
                          </w:rPr>
                        </m:ctrlPr>
                      </m:sSubSupPr>
                      <m:e>
                        <m:r>
                          <m:rPr>
                            <m:scr m:val="script"/>
                            <m:sty m:val="p"/>
                          </m:rPr>
                          <w:rPr>
                            <w:rFonts w:ascii="Cambria Math" w:hAnsi="Cambria Math" w:cs="Times New Roman"/>
                          </w:rPr>
                          <m:t>L</m:t>
                        </m:r>
                      </m:e>
                      <m:sub>
                        <m:r>
                          <w:rPr>
                            <w:rFonts w:ascii="Cambria Math" w:hAnsi="Cambria Math" w:cs="Times New Roman"/>
                          </w:rPr>
                          <m:t>12</m:t>
                        </m:r>
                      </m:sub>
                      <m:sup>
                        <m:r>
                          <m:rPr>
                            <m:sty m:val="p"/>
                          </m:rP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e>
                    </m:d>
                  </m:num>
                  <m:den>
                    <m:sSub>
                      <m:sSubPr>
                        <m:ctrlPr>
                          <w:rPr>
                            <w:rFonts w:ascii="Cambria Math" w:hAnsi="Cambria Math" w:cs="Times New Roman"/>
                          </w:rPr>
                        </m:ctrlPr>
                      </m:sSubPr>
                      <m:e>
                        <m:r>
                          <m:rPr>
                            <m:scr m:val="script"/>
                            <m:sty m:val="p"/>
                          </m:rPr>
                          <w:rPr>
                            <w:rFonts w:ascii="Cambria Math" w:hAnsi="Cambria Math" w:cs="Times New Roman"/>
                          </w:rPr>
                          <m:t>L</m:t>
                        </m:r>
                      </m:e>
                      <m:sub>
                        <m:r>
                          <w:rPr>
                            <w:rFonts w:ascii="Cambria Math" w:hAnsi="Cambria Math" w:cs="Times New Roman"/>
                          </w:rPr>
                          <m:t>12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e>
                    </m:d>
                  </m:den>
                </m:f>
              </m:e>
            </m:mr>
            <m:mr>
              <m:e/>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nary>
                  <m:naryPr>
                    <m:limLoc m:val="subSup"/>
                    <m:ctrlPr>
                      <w:rPr>
                        <w:rFonts w:ascii="Cambria Math" w:hAnsi="Cambria Math" w:cs="Times New Roman"/>
                      </w:rPr>
                    </m:ctrlPr>
                  </m:naryPr>
                  <m:sub>
                    <m:r>
                      <w:rPr>
                        <w:rFonts w:ascii="Cambria Math" w:hAnsi="Cambria Math" w:cs="Times New Roman"/>
                      </w:rPr>
                      <m:t>0</m:t>
                    </m:r>
                  </m:sub>
                  <m:sup>
                    <m:r>
                      <m:rPr>
                        <m:sty m:val="p"/>
                      </m:rPr>
                      <w:rPr>
                        <w:rFonts w:ascii="Cambria Math" w:hAnsi="Cambria Math" w:cs="Times New Roman"/>
                      </w:rPr>
                      <m:t>∞</m:t>
                    </m:r>
                  </m:sup>
                  <m:e>
                    <m:r>
                      <w:rPr>
                        <w:rFonts w:ascii="Cambria Math" w:hAnsi="Cambria Math" w:cs="Times New Roman"/>
                      </w:rPr>
                      <m:t>v</m:t>
                    </m:r>
                  </m:e>
                </m:nary>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v</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θ</m:t>
                    </m:r>
                  </m:e>
                </m:d>
              </m:e>
            </m:mr>
          </m:m>
          <m:r>
            <w:rPr>
              <w:rFonts w:ascii="Cambria Math" w:hAnsi="Cambria Math" w:cs="Times New Roman"/>
            </w:rPr>
            <m:t>  </m:t>
          </m:r>
          <m:d>
            <m:dPr>
              <m:ctrlPr>
                <w:rPr>
                  <w:rFonts w:ascii="Cambria Math" w:hAnsi="Cambria Math" w:cs="Times New Roman"/>
                </w:rPr>
              </m:ctrlPr>
            </m:dPr>
            <m:e>
              <m:r>
                <w:rPr>
                  <w:rFonts w:ascii="Cambria Math" w:hAnsi="Cambria Math" w:cs="Times New Roman"/>
                </w:rPr>
                <m:t>12</m:t>
              </m:r>
            </m:e>
          </m:d>
        </m:oMath>
      </m:oMathPara>
      <w:bookmarkEnd w:id="19"/>
    </w:p>
    <w:p w14:paraId="6FDFC199" w14:textId="77777777" w:rsidR="00697045" w:rsidRPr="004D7AFD" w:rsidRDefault="00000000">
      <w:pPr>
        <w:pStyle w:val="FirstParagraph"/>
        <w:rPr>
          <w:rFonts w:cs="Times New Roman"/>
        </w:rPr>
      </w:pPr>
      <w:r w:rsidRPr="004D7AFD">
        <w:rPr>
          <w:rFonts w:cs="Times New Roman"/>
        </w:rPr>
        <w:t xml:space="preserve">An individual with higher frailty level will have higher probability of encountering a transition. As time progresses, the transition free population of given characteristics </w:t>
      </w:r>
      <m:oMath>
        <m:r>
          <w:rPr>
            <w:rFonts w:ascii="Cambria Math" w:hAnsi="Cambria Math" w:cs="Times New Roman"/>
          </w:rPr>
          <m:t>X</m:t>
        </m:r>
      </m:oMath>
      <w:r w:rsidRPr="004D7AFD">
        <w:rPr>
          <w:rFonts w:cs="Times New Roman"/>
        </w:rPr>
        <w:t xml:space="preserve"> consists of higher proportion of individuals of lower frailties as compared to an earlier time. This is what is meant by </w:t>
      </w:r>
      <w:r w:rsidRPr="004D7AFD">
        <w:rPr>
          <w:rFonts w:cs="Times New Roman"/>
          <w:i/>
          <w:iCs/>
        </w:rPr>
        <w:t>dynamic selection</w:t>
      </w:r>
      <w:r w:rsidRPr="004D7AFD">
        <w:rPr>
          <w:rFonts w:cs="Times New Roman"/>
        </w:rPr>
        <w:t xml:space="preserve">. This dynamic selection will make the average frailty level of the transition-free population over time — i.e., the value of the integral in the second line of </w:t>
      </w:r>
      <w:hyperlink w:anchor="eq-eq15">
        <w:r w:rsidRPr="004D7AFD">
          <w:rPr>
            <w:rStyle w:val="Hyperlink"/>
            <w:rFonts w:cs="Times New Roman"/>
          </w:rPr>
          <w:t>Equation 12</w:t>
        </w:r>
      </w:hyperlink>
      <w:r w:rsidRPr="004D7AFD">
        <w:rPr>
          <w:rFonts w:cs="Times New Roman"/>
        </w:rPr>
        <w:t xml:space="preserve"> — become smaller and smaller, except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4D7AFD">
        <w:rPr>
          <w:rFonts w:cs="Times New Roman"/>
        </w:rPr>
        <w:t xml:space="preserve"> when they are equal. A fallout of this is that the proportionality assumption of the individual intensity functions will not hold for the population-average intensity function. As a result, an estimated regression coefficient of a covariate will give biased estimate of its hazard ratio or the average treatment effect at the population level. Another fallout of the dynamic selection is that the average of the individual transition probabilities of a population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oMath>
      <w:r w:rsidRPr="004D7AFD">
        <w:rPr>
          <w:rFonts w:cs="Times New Roman"/>
        </w:rPr>
        <w:t xml:space="preserve"> will be smaller and smaller over time than the transition probability of the average individual,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12</m:t>
                </m:r>
              </m:sub>
            </m:sSub>
            <m:r>
              <m:rPr>
                <m:sty m:val="p"/>
              </m:rPr>
              <w:rPr>
                <w:rFonts w:ascii="Cambria Math" w:hAnsi="Cambria Math" w:cs="Times New Roman"/>
              </w:rPr>
              <m:t>=</m:t>
            </m:r>
            <m:r>
              <w:rPr>
                <w:rFonts w:ascii="Cambria Math" w:hAnsi="Cambria Math" w:cs="Times New Roman"/>
              </w:rPr>
              <m:t>1</m:t>
            </m:r>
          </m:e>
        </m:d>
      </m:oMath>
      <w:r w:rsidRPr="004D7AFD">
        <w:rPr>
          <w:rFonts w:cs="Times New Roman"/>
        </w:rPr>
        <w:t xml:space="preserve">. Furthermore, the higher the variance </w:t>
      </w:r>
      <m:oMath>
        <m:r>
          <w:rPr>
            <w:rFonts w:ascii="Cambria Math" w:hAnsi="Cambria Math" w:cs="Times New Roman"/>
          </w:rPr>
          <m:t>θ</m:t>
        </m:r>
      </m:oMath>
      <w:r w:rsidRPr="004D7AFD">
        <w:rPr>
          <w:rFonts w:cs="Times New Roman"/>
        </w:rPr>
        <w:t xml:space="preserve"> of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12</m:t>
            </m:r>
          </m:sub>
        </m:sSub>
      </m:oMath>
      <w:r w:rsidRPr="004D7AFD">
        <w:rPr>
          <w:rFonts w:cs="Times New Roman"/>
        </w:rPr>
        <w:t xml:space="preserve">, the smaller becomes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oMath>
      <w:r w:rsidRPr="004D7AFD">
        <w:rPr>
          <w:rFonts w:cs="Times New Roman"/>
        </w:rPr>
        <w:t xml:space="preserve"> for all time </w:t>
      </w:r>
      <m:oMath>
        <m:r>
          <w:rPr>
            <w:rFonts w:ascii="Cambria Math" w:hAnsi="Cambria Math" w:cs="Times New Roman"/>
          </w:rPr>
          <m:t>t</m:t>
        </m:r>
        <m:r>
          <m:rPr>
            <m:sty m:val="p"/>
          </m:rPr>
          <w:rPr>
            <w:rFonts w:ascii="Cambria Math" w:hAnsi="Cambria Math" w:cs="Times New Roman"/>
          </w:rPr>
          <m:t>&gt;</m:t>
        </m:r>
        <m:r>
          <w:rPr>
            <w:rFonts w:ascii="Cambria Math" w:hAnsi="Cambria Math" w:cs="Times New Roman"/>
          </w:rPr>
          <m:t>0</m:t>
        </m:r>
      </m:oMath>
      <w:r w:rsidRPr="004D7AFD">
        <w:rPr>
          <w:rFonts w:cs="Times New Roman"/>
        </w:rPr>
        <w:t xml:space="preserve">. When the frailty variance </w:t>
      </w:r>
      <m:oMath>
        <m:r>
          <w:rPr>
            <w:rFonts w:ascii="Cambria Math" w:hAnsi="Cambria Math" w:cs="Times New Roman"/>
          </w:rPr>
          <m:t>θ</m:t>
        </m:r>
        <m:r>
          <m:rPr>
            <m:sty m:val="p"/>
          </m:rPr>
          <w:rPr>
            <w:rFonts w:ascii="Cambria Math" w:hAnsi="Cambria Math" w:cs="Times New Roman"/>
          </w:rPr>
          <m:t>→</m:t>
        </m:r>
        <m:r>
          <w:rPr>
            <w:rFonts w:ascii="Cambria Math" w:hAnsi="Cambria Math" w:cs="Times New Roman"/>
          </w:rPr>
          <m:t>0</m:t>
        </m:r>
      </m:oMath>
      <w:r w:rsidRPr="004D7AFD">
        <w:rPr>
          <w:rFonts w:cs="Times New Roman"/>
        </w:rPr>
        <w:t xml:space="preserve">, the average transition </w:t>
      </w:r>
      <w:r w:rsidRPr="004D7AFD">
        <w:rPr>
          <w:rFonts w:cs="Times New Roman"/>
        </w:rPr>
        <w:lastRenderedPageBreak/>
        <w:t xml:space="preserve">probability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w:r w:rsidRPr="004D7AFD">
        <w:rPr>
          <w:rFonts w:cs="Times New Roma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12</m:t>
                </m:r>
              </m:sub>
            </m:sSub>
            <m:r>
              <m:rPr>
                <m:sty m:val="p"/>
              </m:rPr>
              <w:rPr>
                <w:rFonts w:ascii="Cambria Math" w:hAnsi="Cambria Math" w:cs="Times New Roman"/>
              </w:rPr>
              <m:t>=</m:t>
            </m:r>
            <m:r>
              <w:rPr>
                <w:rFonts w:ascii="Cambria Math" w:hAnsi="Cambria Math" w:cs="Times New Roman"/>
              </w:rPr>
              <m:t>1</m:t>
            </m:r>
          </m:e>
        </m:d>
      </m:oMath>
      <w:r w:rsidRPr="004D7AFD">
        <w:rPr>
          <w:rFonts w:cs="Times New Roman"/>
        </w:rPr>
        <w:t xml:space="preserve">, the transition probability of the average individual. </w:t>
      </w:r>
      <w:hyperlink w:anchor="fig-fig100">
        <w:r w:rsidRPr="004D7AFD">
          <w:rPr>
            <w:rStyle w:val="Hyperlink"/>
            <w:rFonts w:cs="Times New Roman"/>
          </w:rPr>
          <w:t>Figure 2</w:t>
        </w:r>
      </w:hyperlink>
      <w:r w:rsidRPr="004D7AFD">
        <w:rPr>
          <w:rFonts w:cs="Times New Roman"/>
        </w:rPr>
        <w:t xml:space="preserve"> illustrates the above for the case of a constant baseline hazard function without covariates for the gamma frailty distribution with two values of </w:t>
      </w:r>
      <m:oMath>
        <m:r>
          <w:rPr>
            <w:rFonts w:ascii="Cambria Math" w:hAnsi="Cambria Math" w:cs="Times New Roman"/>
          </w:rPr>
          <m:t>θ</m:t>
        </m:r>
      </m:oMath>
      <w:r w:rsidRPr="004D7AFD">
        <w:rPr>
          <w:rFonts w:cs="Times New Roman"/>
        </w:rPr>
        <w:t>.</w:t>
      </w:r>
    </w:p>
    <w:tbl>
      <w:tblPr>
        <w:tblW w:w="5000" w:type="pct"/>
        <w:tblLook w:val="0000" w:firstRow="0" w:lastRow="0" w:firstColumn="0" w:lastColumn="0" w:noHBand="0" w:noVBand="0"/>
      </w:tblPr>
      <w:tblGrid>
        <w:gridCol w:w="9360"/>
      </w:tblGrid>
      <w:tr w:rsidR="00697045" w:rsidRPr="004D7AFD" w14:paraId="61786C8A" w14:textId="77777777">
        <w:tc>
          <w:tcPr>
            <w:tcW w:w="0" w:type="auto"/>
          </w:tcPr>
          <w:p w14:paraId="76130B88" w14:textId="77777777" w:rsidR="00697045" w:rsidRPr="004D7AFD" w:rsidRDefault="00000000">
            <w:pPr>
              <w:jc w:val="center"/>
              <w:rPr>
                <w:rFonts w:cs="Times New Roman"/>
              </w:rPr>
            </w:pPr>
            <w:bookmarkStart w:id="20" w:name="fig-fig100"/>
            <w:r w:rsidRPr="004D7AFD">
              <w:rPr>
                <w:rFonts w:cs="Times New Roman"/>
                <w:noProof/>
              </w:rPr>
              <w:drawing>
                <wp:inline distT="0" distB="0" distL="0" distR="0" wp14:anchorId="2CA78819" wp14:editId="321CE845">
                  <wp:extent cx="3566160" cy="2852928"/>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Early_Childhood_factors_and_Health_files/figure-docx/fig-fig100-1.png"/>
                          <pic:cNvPicPr>
                            <a:picLocks noChangeAspect="1" noChangeArrowheads="1"/>
                          </pic:cNvPicPr>
                        </pic:nvPicPr>
                        <pic:blipFill>
                          <a:blip r:embed="rId8"/>
                          <a:stretch>
                            <a:fillRect/>
                          </a:stretch>
                        </pic:blipFill>
                        <pic:spPr bwMode="auto">
                          <a:xfrm>
                            <a:off x="0" y="0"/>
                            <a:ext cx="3566160" cy="2852928"/>
                          </a:xfrm>
                          <a:prstGeom prst="rect">
                            <a:avLst/>
                          </a:prstGeom>
                          <a:noFill/>
                          <a:ln w="9525">
                            <a:noFill/>
                            <a:headEnd/>
                            <a:tailEnd/>
                          </a:ln>
                        </pic:spPr>
                      </pic:pic>
                    </a:graphicData>
                  </a:graphic>
                </wp:inline>
              </w:drawing>
            </w:r>
          </w:p>
          <w:p w14:paraId="53AE5179" w14:textId="77777777" w:rsidR="00697045" w:rsidRPr="004D7AFD" w:rsidRDefault="00000000">
            <w:pPr>
              <w:pStyle w:val="ImageCaption"/>
              <w:spacing w:before="200"/>
              <w:rPr>
                <w:rFonts w:cs="Times New Roman"/>
              </w:rPr>
            </w:pPr>
            <w:r w:rsidRPr="004D7AFD">
              <w:rPr>
                <w:rFonts w:cs="Times New Roman"/>
              </w:rPr>
              <w:t xml:space="preserve">Figure 2: Comparing the probability of a transition for an individual with average frailty level,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t|V=1</m:t>
                  </m:r>
                </m:e>
              </m:d>
            </m:oMath>
            <w:r w:rsidRPr="004D7AFD">
              <w:rPr>
                <w:rFonts w:cs="Times New Roman"/>
              </w:rPr>
              <w:t xml:space="preserve">, with population average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for </w:t>
            </w:r>
            <m:oMath>
              <m:r>
                <w:rPr>
                  <w:rFonts w:ascii="Cambria Math" w:hAnsi="Cambria Math" w:cs="Times New Roman"/>
                </w:rPr>
                <m:t>λ=.04</m:t>
              </m:r>
            </m:oMath>
            <w:r w:rsidRPr="004D7AFD">
              <w:rPr>
                <w:rFonts w:cs="Times New Roman"/>
              </w:rPr>
              <w:t xml:space="preserve">, and </w:t>
            </w:r>
            <m:oMath>
              <m:r>
                <w:rPr>
                  <w:rFonts w:ascii="Cambria Math" w:hAnsi="Cambria Math" w:cs="Times New Roman"/>
                </w:rPr>
                <m:t>θ=0.492</m:t>
              </m:r>
            </m:oMath>
            <w:r w:rsidRPr="004D7AFD">
              <w:rPr>
                <w:rFonts w:cs="Times New Roman"/>
              </w:rPr>
              <w:t xml:space="preserv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=0.8</m:t>
              </m:r>
            </m:oMath>
          </w:p>
        </w:tc>
        <w:bookmarkEnd w:id="20"/>
      </w:tr>
    </w:tbl>
    <w:p w14:paraId="63E8E550" w14:textId="77777777" w:rsidR="00697045" w:rsidRPr="004D7AFD" w:rsidRDefault="00000000">
      <w:pPr>
        <w:pStyle w:val="BodyText"/>
        <w:rPr>
          <w:rFonts w:cs="Times New Roman"/>
        </w:rPr>
      </w:pPr>
      <w:r w:rsidRPr="004D7AFD">
        <w:rPr>
          <w:rFonts w:cs="Times New Roman"/>
        </w:rPr>
        <w:t xml:space="preserve">For general multi-state models such as ours, no tractable numerical algorithms are currently available to compute the population-averages of transition intensities or transition probabilities. In the policy analysis of </w:t>
      </w:r>
      <w:hyperlink w:anchor="sec-sec7">
        <w:r w:rsidRPr="004D7AFD">
          <w:rPr>
            <w:rStyle w:val="Hyperlink"/>
            <w:rFonts w:cs="Times New Roman"/>
          </w:rPr>
          <w:t>Section 7</w:t>
        </w:r>
      </w:hyperlink>
      <w:r w:rsidRPr="004D7AFD">
        <w:rPr>
          <w:rFonts w:cs="Times New Roman"/>
        </w:rPr>
        <w:t xml:space="preserve">, I will use the transition intensities and transition probabilities of the average individual, i.e., the individual with all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r>
          <m:rPr>
            <m:sty m:val="p"/>
          </m:rPr>
          <w:rPr>
            <w:rFonts w:ascii="Cambria Math" w:hAnsi="Cambria Math" w:cs="Times New Roman"/>
          </w:rPr>
          <m:t>=</m:t>
        </m:r>
        <m:r>
          <w:rPr>
            <w:rFonts w:ascii="Cambria Math" w:hAnsi="Cambria Math" w:cs="Times New Roman"/>
          </w:rPr>
          <m:t>1</m:t>
        </m:r>
      </m:oMath>
      <w:r w:rsidRPr="004D7AFD">
        <w:rPr>
          <w:rFonts w:cs="Times New Roman"/>
        </w:rPr>
        <w:t xml:space="preserve"> to study treatment effects of policies.</w:t>
      </w:r>
    </w:p>
    <w:p w14:paraId="78B21F93" w14:textId="77777777" w:rsidR="00697045" w:rsidRPr="004D7AFD" w:rsidRDefault="00000000">
      <w:pPr>
        <w:pStyle w:val="Heading3"/>
        <w:rPr>
          <w:rFonts w:cs="Times New Roman"/>
        </w:rPr>
      </w:pPr>
      <w:bookmarkStart w:id="21" w:name="identification-problems"/>
      <w:bookmarkEnd w:id="17"/>
      <w:r w:rsidRPr="004D7AFD">
        <w:rPr>
          <w:rFonts w:cs="Times New Roman"/>
        </w:rPr>
        <w:t>Identification problems</w:t>
      </w:r>
    </w:p>
    <w:p w14:paraId="647251B9" w14:textId="77777777" w:rsidR="00697045" w:rsidRPr="004D7AFD" w:rsidRDefault="00000000">
      <w:pPr>
        <w:pStyle w:val="FirstParagraph"/>
        <w:rPr>
          <w:rFonts w:cs="Times New Roman"/>
        </w:rPr>
      </w:pPr>
      <w:r w:rsidRPr="004D7AFD">
        <w:rPr>
          <w:rFonts w:cs="Times New Roman"/>
        </w:rPr>
        <w:t xml:space="preserve">The third problem created by unobserved heterogeneity is the identification problem. To see it, assume that there no covariates. </w:t>
      </w:r>
      <w:hyperlink w:anchor="eq-eq15">
        <w:r w:rsidRPr="004D7AFD">
          <w:rPr>
            <w:rStyle w:val="Hyperlink"/>
            <w:rFonts w:cs="Times New Roman"/>
          </w:rPr>
          <w:t>Equation 12</w:t>
        </w:r>
      </w:hyperlink>
      <w:r w:rsidRPr="004D7AFD">
        <w:rPr>
          <w:rFonts w:cs="Times New Roman"/>
        </w:rPr>
        <w:t xml:space="preserve"> becomes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12</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g</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where </w:t>
      </w:r>
      <m:oMath>
        <m:r>
          <w:rPr>
            <w:rFonts w:ascii="Cambria Math" w:hAnsi="Cambria Math" w:cs="Times New Roman"/>
          </w:rPr>
          <m:t>g</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a function of </w:t>
      </w:r>
      <m:oMath>
        <m:r>
          <w:rPr>
            <w:rFonts w:ascii="Cambria Math" w:hAnsi="Cambria Math" w:cs="Times New Roman"/>
          </w:rPr>
          <m:t>t</m:t>
        </m:r>
      </m:oMath>
      <w:r w:rsidRPr="004D7AFD">
        <w:rPr>
          <w:rFonts w:cs="Times New Roman"/>
        </w:rPr>
        <w:t xml:space="preserve">. From a random sample one can only estimate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which is consistent with both a specification of individual intensities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12</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together with frailty (whose distribution yields the term </w:t>
      </w:r>
      <m:oMath>
        <m:r>
          <w:rPr>
            <w:rFonts w:ascii="Cambria Math" w:hAnsi="Cambria Math" w:cs="Times New Roman"/>
          </w:rPr>
          <m:t>g</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oMath>
      <w:r w:rsidRPr="004D7AFD">
        <w:rPr>
          <w:rFonts w:cs="Times New Roman"/>
        </w:rPr>
        <w:t xml:space="preserve"> and a specification without frailty, i.e., taking the baseline hazard in </w:t>
      </w:r>
      <w:hyperlink w:anchor="eq-eq7">
        <w:r w:rsidRPr="004D7AFD">
          <w:rPr>
            <w:rStyle w:val="Hyperlink"/>
            <w:rFonts w:cs="Times New Roman"/>
          </w:rPr>
          <w:t>Equation 6</w:t>
        </w:r>
      </w:hyperlink>
      <w:r w:rsidRPr="004D7AFD">
        <w:rPr>
          <w:rFonts w:cs="Times New Roman"/>
        </w:rPr>
        <w:t xml:space="preserve"> as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12</m:t>
            </m:r>
          </m:sub>
          <m:sup>
            <m:r>
              <w:rPr>
                <w:rFonts w:ascii="Cambria Math" w:hAnsi="Cambria Math" w:cs="Times New Roman"/>
              </w:rPr>
              <m:t>m</m:t>
            </m:r>
          </m:sup>
        </m:sSubSup>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and </w:t>
      </w:r>
      <m:oMath>
        <m:r>
          <w:rPr>
            <w:rFonts w:ascii="Cambria Math" w:hAnsi="Cambria Math" w:cs="Times New Roman"/>
          </w:rPr>
          <m:t>V</m:t>
        </m:r>
        <m:r>
          <m:rPr>
            <m:sty m:val="p"/>
          </m:rPr>
          <w:rPr>
            <w:rFonts w:ascii="Cambria Math" w:hAnsi="Cambria Math" w:cs="Times New Roman"/>
          </w:rPr>
          <m:t>=</m:t>
        </m:r>
        <m:r>
          <w:rPr>
            <w:rFonts w:ascii="Cambria Math" w:hAnsi="Cambria Math" w:cs="Times New Roman"/>
          </w:rPr>
          <m:t>1</m:t>
        </m:r>
      </m:oMath>
      <w:r w:rsidRPr="004D7AFD">
        <w:rPr>
          <w:rFonts w:cs="Times New Roman"/>
        </w:rPr>
        <w:t>. It is clear that unobserved heterogeneity cannot be identified without having further structure. Elbers and Ridder (</w:t>
      </w:r>
      <w:hyperlink w:anchor="ref-Elbers.Ridder_1982">
        <w:r w:rsidRPr="004D7AFD">
          <w:rPr>
            <w:rStyle w:val="Hyperlink"/>
            <w:rFonts w:cs="Times New Roman"/>
          </w:rPr>
          <w:t>1982</w:t>
        </w:r>
      </w:hyperlink>
      <w:r w:rsidRPr="004D7AFD">
        <w:rPr>
          <w:rFonts w:cs="Times New Roman"/>
        </w:rPr>
        <w:t xml:space="preserve">) were the first to show this identification problem. They also showed that identification can be achieved when there are covariates in the </w:t>
      </w:r>
      <w:r w:rsidRPr="004D7AFD">
        <w:rPr>
          <w:rFonts w:cs="Times New Roman"/>
        </w:rPr>
        <w:lastRenderedPageBreak/>
        <w:t>proportional hazard specification and the unobserved heterogeneity has finite mean (see also Heckman and Singer (</w:t>
      </w:r>
      <w:hyperlink w:anchor="ref-Heckman.Singer_1983">
        <w:r w:rsidRPr="004D7AFD">
          <w:rPr>
            <w:rStyle w:val="Hyperlink"/>
            <w:rFonts w:cs="Times New Roman"/>
          </w:rPr>
          <w:t>1983</w:t>
        </w:r>
      </w:hyperlink>
      <w:r w:rsidRPr="004D7AFD">
        <w:rPr>
          <w:rFonts w:cs="Times New Roman"/>
        </w:rPr>
        <w:t>) and Heckman and Singer (</w:t>
      </w:r>
      <w:hyperlink w:anchor="ref-Heckman.Singer_1984a">
        <w:r w:rsidRPr="004D7AFD">
          <w:rPr>
            <w:rStyle w:val="Hyperlink"/>
            <w:rFonts w:cs="Times New Roman"/>
          </w:rPr>
          <w:t>1984b</w:t>
        </w:r>
      </w:hyperlink>
      <w:r w:rsidRPr="004D7AFD">
        <w:rPr>
          <w:rFonts w:cs="Times New Roman"/>
        </w:rPr>
        <w:t>) for other identification conditions in proportional hazard specifications).</w:t>
      </w:r>
    </w:p>
    <w:p w14:paraId="10B601D9" w14:textId="77777777" w:rsidR="00697045" w:rsidRPr="004D7AFD" w:rsidRDefault="00000000">
      <w:pPr>
        <w:pStyle w:val="BodyText"/>
        <w:rPr>
          <w:rFonts w:cs="Times New Roman"/>
        </w:rPr>
      </w:pPr>
      <w:r w:rsidRPr="004D7AFD">
        <w:rPr>
          <w:rFonts w:cs="Times New Roman"/>
        </w:rPr>
        <w:t>An important point to note is that a non-parametric estimate of the transition intensity in models without covariates already encompasses the effect of unobserved heterogeneity if there is any.</w:t>
      </w:r>
      <w:r w:rsidRPr="004D7AFD">
        <w:rPr>
          <w:rFonts w:cs="Times New Roman"/>
        </w:rPr>
        <w:br/>
        <w:t xml:space="preserve">Thus, the non-parametric estimates I present below in </w:t>
      </w:r>
      <w:hyperlink w:anchor="sec-sec4-2">
        <w:r w:rsidRPr="004D7AFD">
          <w:rPr>
            <w:rStyle w:val="Hyperlink"/>
            <w:rFonts w:cs="Times New Roman"/>
          </w:rPr>
          <w:t>Section 4.2</w:t>
        </w:r>
      </w:hyperlink>
      <w:r w:rsidRPr="004D7AFD">
        <w:rPr>
          <w:rFonts w:cs="Times New Roman"/>
        </w:rPr>
        <w:t xml:space="preserve"> are free from unobserved heterogeneity biases.</w:t>
      </w:r>
    </w:p>
    <w:p w14:paraId="31719AEE" w14:textId="77777777" w:rsidR="00697045" w:rsidRPr="004D7AFD" w:rsidRDefault="00000000">
      <w:pPr>
        <w:pStyle w:val="BodyText"/>
        <w:rPr>
          <w:rFonts w:cs="Times New Roman"/>
        </w:rPr>
      </w:pPr>
      <w:r w:rsidRPr="004D7AFD">
        <w:rPr>
          <w:rFonts w:cs="Times New Roman"/>
        </w:rPr>
        <w:t xml:space="preserve">For general multi-state models such as ours, no tractable numerical algorithms are currently available to compute the population-averages of transition intensities or transition probabilities of individuals. In the policy analysis of </w:t>
      </w:r>
      <w:hyperlink w:anchor="sec-sec7">
        <w:r w:rsidRPr="004D7AFD">
          <w:rPr>
            <w:rStyle w:val="Hyperlink"/>
            <w:rFonts w:cs="Times New Roman"/>
          </w:rPr>
          <w:t>Section 7</w:t>
        </w:r>
      </w:hyperlink>
      <w:r w:rsidRPr="004D7AFD">
        <w:rPr>
          <w:rFonts w:cs="Times New Roman"/>
        </w:rPr>
        <w:t xml:space="preserve">, I will use the transition intensities and transition probabilities of an individual with all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hj</m:t>
            </m:r>
          </m:sub>
        </m:sSub>
        <m:r>
          <m:rPr>
            <m:sty m:val="p"/>
          </m:rPr>
          <w:rPr>
            <w:rFonts w:ascii="Cambria Math" w:hAnsi="Cambria Math" w:cs="Times New Roman"/>
          </w:rPr>
          <m:t>=</m:t>
        </m:r>
        <m:r>
          <w:rPr>
            <w:rFonts w:ascii="Cambria Math" w:hAnsi="Cambria Math" w:cs="Times New Roman"/>
          </w:rPr>
          <m:t>1</m:t>
        </m:r>
      </m:oMath>
      <w:r w:rsidRPr="004D7AFD">
        <w:rPr>
          <w:rFonts w:cs="Times New Roman"/>
        </w:rPr>
        <w:t xml:space="preserve"> to study treatment effects of policies.</w:t>
      </w:r>
    </w:p>
    <w:p w14:paraId="6E515FAB" w14:textId="77777777" w:rsidR="00697045" w:rsidRPr="004D7AFD" w:rsidRDefault="00000000">
      <w:pPr>
        <w:pStyle w:val="Heading1"/>
        <w:rPr>
          <w:rFonts w:cs="Times New Roman"/>
        </w:rPr>
      </w:pPr>
      <w:bookmarkStart w:id="22" w:name="sec-sec4"/>
      <w:bookmarkEnd w:id="8"/>
      <w:bookmarkEnd w:id="15"/>
      <w:bookmarkEnd w:id="21"/>
      <w:r w:rsidRPr="004D7AFD">
        <w:rPr>
          <w:rFonts w:cs="Times New Roman"/>
        </w:rPr>
        <w:t>The dataset and the variables</w:t>
      </w:r>
    </w:p>
    <w:p w14:paraId="42D020B3" w14:textId="77777777" w:rsidR="00697045" w:rsidRPr="004D7AFD" w:rsidRDefault="00000000">
      <w:pPr>
        <w:pStyle w:val="FirstParagraph"/>
        <w:rPr>
          <w:rFonts w:cs="Times New Roman"/>
        </w:rPr>
      </w:pPr>
      <w:r w:rsidRPr="004D7AFD">
        <w:rPr>
          <w:rFonts w:cs="Times New Roman"/>
        </w:rPr>
        <w:t>I use the Health and Retirement Study (HRS) dataset for empirical analysis. A lot has been reported on the family of HRS datasets—about its structure, purpose, and various modules collecting data on genetics, biomarkers, cognitive functioning, and more, see for instance (</w:t>
      </w:r>
      <w:hyperlink w:anchor="ref-Juster.Suzman_1995">
        <w:r w:rsidRPr="004D7AFD">
          <w:rPr>
            <w:rStyle w:val="Hyperlink"/>
            <w:rFonts w:cs="Times New Roman"/>
          </w:rPr>
          <w:t>Juster and Suzman 1995</w:t>
        </w:r>
      </w:hyperlink>
      <w:r w:rsidRPr="004D7AFD">
        <w:rPr>
          <w:rFonts w:cs="Times New Roman"/>
        </w:rPr>
        <w:t xml:space="preserve">; </w:t>
      </w:r>
      <w:hyperlink w:anchor="ref-Sonnega.etal_2014">
        <w:r w:rsidRPr="004D7AFD">
          <w:rPr>
            <w:rStyle w:val="Hyperlink"/>
            <w:rFonts w:cs="Times New Roman"/>
          </w:rPr>
          <w:t>Sonnega et al. 2014</w:t>
        </w:r>
      </w:hyperlink>
      <w:r w:rsidRPr="004D7AFD">
        <w:rPr>
          <w:rFonts w:cs="Times New Roman"/>
        </w:rPr>
        <w:t xml:space="preserve">; </w:t>
      </w:r>
      <w:hyperlink w:anchor="ref-Fisher.Ryan_2017">
        <w:r w:rsidRPr="004D7AFD">
          <w:rPr>
            <w:rStyle w:val="Hyperlink"/>
            <w:rFonts w:cs="Times New Roman"/>
          </w:rPr>
          <w:t>Fisher and Ryan 2017</w:t>
        </w:r>
      </w:hyperlink>
      <w:r w:rsidRPr="004D7AFD">
        <w:rPr>
          <w:rFonts w:cs="Times New Roman"/>
        </w:rPr>
        <w:t>). The first survey was conducted in 1992 on a representative sample of individuals living in households i.e., in non-institutionalized, community dwelling in the United States from the population of cohorts born during 1931 to 1941 and their spouses of any age. “The sample was drawn at the household financial unit level using a multistage, national area-clustered probability sample frame. An oversampling of Blacks, Hispanics (primarily Mexican Americans), and Florida residents were drawn to increase the sample size of Blacks and Hispanics as well as those who reside in the state of Florida” (</w:t>
      </w:r>
      <w:hyperlink w:anchor="ref-Fisher.Ryan_2017">
        <w:r w:rsidRPr="004D7AFD">
          <w:rPr>
            <w:rStyle w:val="Hyperlink"/>
            <w:rFonts w:cs="Times New Roman"/>
          </w:rPr>
          <w:t>Fisher and Ryan 2017</w:t>
        </w:r>
      </w:hyperlink>
      <w:r w:rsidRPr="004D7AFD">
        <w:rPr>
          <w:rFonts w:cs="Times New Roman"/>
        </w:rPr>
        <w:t>). The number of respondents were 13,593. Since 1992, the survey was repeated every two years. In each wave of new surveys in 1993, 1998, 2004 and 2010, new cohorts were added, ending the survey up with a sample size of 37,495 from around 23,000 households in wave 12 in 2014. RAND created many variables from the original HRS data for ease of use. I create all the variables for the paper (with a few exceptions mentioned below) from the RAND HRS dataset. The details of the Rand HRS dataset can be found in Bugliari et al. (</w:t>
      </w:r>
      <w:hyperlink w:anchor="ref-Bugliari.etal_2016">
        <w:r w:rsidRPr="004D7AFD">
          <w:rPr>
            <w:rStyle w:val="Hyperlink"/>
            <w:rFonts w:cs="Times New Roman"/>
          </w:rPr>
          <w:t>2016</w:t>
        </w:r>
      </w:hyperlink>
      <w:r w:rsidRPr="004D7AFD">
        <w:rPr>
          <w:rFonts w:cs="Times New Roman"/>
        </w:rPr>
        <w:t>).</w:t>
      </w:r>
    </w:p>
    <w:p w14:paraId="45835D5A" w14:textId="77777777" w:rsidR="00697045" w:rsidRPr="004D7AFD" w:rsidRDefault="00000000">
      <w:pPr>
        <w:pStyle w:val="BodyText"/>
        <w:rPr>
          <w:rFonts w:cs="Times New Roman"/>
        </w:rPr>
      </w:pPr>
      <w:r w:rsidRPr="004D7AFD">
        <w:rPr>
          <w:rFonts w:cs="Times New Roman"/>
        </w:rPr>
        <w:lastRenderedPageBreak/>
        <w:t>As mentioned in the introduction, I define the disability health state to be one that qualifies one to be on the disability programs OASDI or SSI. The data on disability is self-reported. Later I plan to use the Social Security Administration’s matched administrative data with actual disability entitlement information. The matched data will, however, reduce the sample size to half, as only 50 percent of the respondents are used for matching HRS with SSA Administrative data. The HRS dataset collected information on if and when the doctor diagnosed that the respondent has any of the severe diseases such as high blood pressure, diabetes, cancer, lung disease, heart attack, stroke, psychiatric disorder and severe arthritis. I drop respondents who received disability before the first survey year and I also drop the spouses in the sample who were not between ages 51 to 61 and were disabled or dead before or in the survey year.</w:t>
      </w:r>
    </w:p>
    <w:p w14:paraId="5BA115DE" w14:textId="77777777" w:rsidR="00697045" w:rsidRPr="004D7AFD" w:rsidRDefault="00000000">
      <w:pPr>
        <w:pStyle w:val="BodyText"/>
        <w:rPr>
          <w:rFonts w:cs="Times New Roman"/>
        </w:rPr>
      </w:pPr>
      <w:hyperlink w:anchor="tbl-table1">
        <w:r w:rsidRPr="004D7AFD">
          <w:rPr>
            <w:rStyle w:val="Hyperlink"/>
            <w:rFonts w:cs="Times New Roman"/>
          </w:rPr>
          <w:t>Table 1</w:t>
        </w:r>
      </w:hyperlink>
      <w:r w:rsidRPr="004D7AFD">
        <w:rPr>
          <w:rFonts w:cs="Times New Roman"/>
        </w:rPr>
        <w:t xml:space="preserve"> provides a few characteristics of the data.</w:t>
      </w:r>
    </w:p>
    <w:p w14:paraId="4DD0CD20" w14:textId="77777777" w:rsidR="00697045" w:rsidRPr="004D7AFD" w:rsidRDefault="00000000">
      <w:pPr>
        <w:pStyle w:val="TableCaption"/>
        <w:rPr>
          <w:rFonts w:cs="Times New Roman"/>
        </w:rPr>
      </w:pPr>
      <w:bookmarkStart w:id="23" w:name="tbl-table1"/>
      <w:r w:rsidRPr="004D7AFD">
        <w:rPr>
          <w:rFonts w:cs="Times New Roman"/>
        </w:rPr>
        <w:t>Table 1: Summary of the health status of the individuals in the sample over the survey years.</w:t>
      </w:r>
    </w:p>
    <w:tbl>
      <w:tblPr>
        <w:tblW w:w="0" w:type="auto"/>
        <w:tblLook w:val="0000" w:firstRow="0" w:lastRow="0" w:firstColumn="0" w:lastColumn="0" w:noHBand="0" w:noVBand="0"/>
        <w:tblCaption w:val="Table 1: Summary of the health status of the individuals in the sample over the survey years."/>
      </w:tblPr>
      <w:tblGrid>
        <w:gridCol w:w="1311"/>
        <w:gridCol w:w="2013"/>
        <w:gridCol w:w="1525"/>
        <w:gridCol w:w="1687"/>
        <w:gridCol w:w="600"/>
        <w:gridCol w:w="1458"/>
        <w:gridCol w:w="383"/>
        <w:gridCol w:w="383"/>
      </w:tblGrid>
      <w:tr w:rsidR="00697045" w:rsidRPr="004D7AFD" w14:paraId="416C771F" w14:textId="77777777">
        <w:trPr>
          <w:gridAfter w:val="1"/>
        </w:trPr>
        <w:tc>
          <w:tcPr>
            <w:tcW w:w="0" w:type="auto"/>
            <w:gridSpan w:val="7"/>
          </w:tcPr>
          <w:p w14:paraId="5E5A188B" w14:textId="77777777" w:rsidR="00697045" w:rsidRPr="004D7AFD" w:rsidRDefault="00697045">
            <w:pPr>
              <w:pStyle w:val="Compact"/>
              <w:rPr>
                <w:rFonts w:cs="Times New Roman"/>
              </w:rPr>
            </w:pPr>
          </w:p>
        </w:tc>
      </w:tr>
      <w:bookmarkEnd w:id="23"/>
      <w:tr w:rsidR="00697045" w:rsidRPr="004D7AFD" w14:paraId="0F6B7006"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922A5F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Survey Year</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1450BE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Alive:normal health</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0E698C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Alive: diseased</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97FC76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Became disabled</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612CF8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Died</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AB159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Attained FRA</w:t>
            </w:r>
          </w:p>
        </w:tc>
        <w:tc>
          <w:tcPr>
            <w:tcW w:w="0" w:type="auto"/>
            <w:gridSpan w:val="2"/>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0C4227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center"/>
              <w:rPr>
                <w:rFonts w:cs="Times New Roman"/>
              </w:rPr>
            </w:pPr>
            <w:r w:rsidRPr="004D7AFD">
              <w:rPr>
                <w:rFonts w:eastAsia="Arial" w:cs="Times New Roman"/>
                <w:b/>
                <w:color w:val="0000FF"/>
                <w:sz w:val="22"/>
                <w:szCs w:val="22"/>
              </w:rPr>
              <w:t>Total</w:t>
            </w:r>
          </w:p>
        </w:tc>
      </w:tr>
      <w:tr w:rsidR="00697045" w:rsidRPr="004D7AFD" w14:paraId="151FB5B4"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7B5578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1992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2EB4BC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3,027</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7C6EF8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6,442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E0E18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92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F396BD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8EBB30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53F36A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9,561</w:t>
            </w:r>
          </w:p>
        </w:tc>
      </w:tr>
      <w:tr w:rsidR="00697045" w:rsidRPr="004D7AFD" w14:paraId="2AC084B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A6D9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1994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2FD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2,603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0EC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6,645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4FD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5C93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6484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D10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9,469</w:t>
            </w:r>
          </w:p>
        </w:tc>
      </w:tr>
      <w:tr w:rsidR="00697045" w:rsidRPr="004D7AFD" w14:paraId="5F2B7A5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6B1164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1996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2B1B1C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2,299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FD503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6,661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1FC42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140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590ED0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148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3E1803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011FB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9,248</w:t>
            </w:r>
          </w:p>
        </w:tc>
      </w:tr>
      <w:tr w:rsidR="00697045" w:rsidRPr="004D7AFD" w14:paraId="7E8E0C9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2206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1998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928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2,483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BD68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6,642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0D2B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013F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C22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736</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9C4C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10,118</w:t>
            </w:r>
          </w:p>
        </w:tc>
      </w:tr>
      <w:tr w:rsidR="00697045" w:rsidRPr="004D7AFD" w14:paraId="6F7F1AD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A86971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2000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85FF04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1,944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3929FB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5,529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B066FA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0F6EFC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128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5A6E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747</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45D6F2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8,447</w:t>
            </w:r>
          </w:p>
        </w:tc>
      </w:tr>
      <w:tr w:rsidR="00697045" w:rsidRPr="004D7AFD" w14:paraId="0644FFD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58FD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CB82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1,388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2544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4,440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9634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3132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AAD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760</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EFAB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6,745</w:t>
            </w:r>
          </w:p>
        </w:tc>
      </w:tr>
      <w:tr w:rsidR="00697045" w:rsidRPr="004D7AFD" w14:paraId="5E2321F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016DDC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2004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845ED0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2,084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DA252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5,489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7530DF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84C3A8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F6D95D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785</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19782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8,487</w:t>
            </w:r>
          </w:p>
        </w:tc>
      </w:tr>
      <w:tr w:rsidR="00697045" w:rsidRPr="004D7AFD" w14:paraId="12E4F7D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057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A40D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1,532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5F1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4,356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9494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60E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AEFD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798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F92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6,793</w:t>
            </w:r>
          </w:p>
        </w:tc>
      </w:tr>
      <w:tr w:rsidR="00697045" w:rsidRPr="004D7AFD" w14:paraId="27B433E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504F92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2008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AD7254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1,183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ABE2C6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3,621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CB923F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5A559F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3799BD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220</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B5C870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5,119</w:t>
            </w:r>
          </w:p>
        </w:tc>
      </w:tr>
      <w:tr w:rsidR="00697045" w:rsidRPr="004D7AFD" w14:paraId="323EE01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7757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3171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2,133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9058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5,728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4D1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61D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7A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265</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64E1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8,227</w:t>
            </w:r>
          </w:p>
        </w:tc>
      </w:tr>
      <w:tr w:rsidR="00697045" w:rsidRPr="004D7AFD" w14:paraId="70B4BB1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1277F0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2012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34079D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1,818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B8E3E0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5,283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AEFBE4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107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A64B61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AA5E9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331</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6FB45E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7,606</w:t>
            </w:r>
          </w:p>
        </w:tc>
      </w:tr>
      <w:tr w:rsidR="00697045" w:rsidRPr="004D7AFD" w14:paraId="44070B6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9CF2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CB96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1,475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5AA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4,704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0191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EEEA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5729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412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9546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6,772</w:t>
            </w:r>
          </w:p>
        </w:tc>
      </w:tr>
      <w:tr w:rsidR="00697045" w:rsidRPr="004D7AFD" w14:paraId="734E53F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D4DDD3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2016</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F2C5C8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2,338</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33E7515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6,035</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4C2807F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58</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36C7542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58</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7F3E41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499</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282E9C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8,988</w:t>
            </w:r>
          </w:p>
        </w:tc>
      </w:tr>
    </w:tbl>
    <w:p w14:paraId="1EF76C05" w14:textId="77777777" w:rsidR="00697045" w:rsidRPr="004D7AFD" w:rsidRDefault="00000000">
      <w:pPr>
        <w:pStyle w:val="Heading2"/>
        <w:rPr>
          <w:rFonts w:cs="Times New Roman"/>
        </w:rPr>
      </w:pPr>
      <w:bookmarkStart w:id="24" w:name="sec-sec4-1"/>
      <w:r w:rsidRPr="004D7AFD">
        <w:rPr>
          <w:rFonts w:cs="Times New Roman"/>
        </w:rPr>
        <w:t>Variables</w:t>
      </w:r>
    </w:p>
    <w:p w14:paraId="14F7C506" w14:textId="77777777" w:rsidR="00697045" w:rsidRPr="004D7AFD" w:rsidRDefault="00000000">
      <w:pPr>
        <w:pStyle w:val="FirstParagraph"/>
        <w:rPr>
          <w:rFonts w:cs="Times New Roman"/>
        </w:rPr>
      </w:pPr>
      <w:r w:rsidRPr="004D7AFD">
        <w:rPr>
          <w:rFonts w:cs="Times New Roman"/>
        </w:rPr>
        <w:t>I have noted earlier the importance of early childhood factors such as childhood socioeconomic status, childhood health status, cognitive and non-cognitive skills in determining the health developments in the middle ages. Other important factors are biomarkers, measuring the initial physical and mental health status, and health related behaviors in middle ages. Furthermore, the health development may vary by race and sex. I describe the construction of the relevant variables in this subsection.</w:t>
      </w:r>
    </w:p>
    <w:p w14:paraId="004E3C6B" w14:textId="77777777" w:rsidR="00697045" w:rsidRPr="004D7AFD" w:rsidRDefault="00000000">
      <w:pPr>
        <w:pStyle w:val="BodyText"/>
        <w:rPr>
          <w:rFonts w:cs="Times New Roman"/>
        </w:rPr>
      </w:pPr>
      <w:r w:rsidRPr="004D7AFD">
        <w:rPr>
          <w:rFonts w:cs="Times New Roman"/>
        </w:rPr>
        <w:lastRenderedPageBreak/>
        <w:t xml:space="preserve">I use the Item Response Theory (IRT) from the latent variable analysis literature to construct an aggregate measure of childhood socioeconomic status, </w:t>
      </w:r>
      <w:r w:rsidRPr="004D7AFD">
        <w:rPr>
          <w:rFonts w:cs="Times New Roman"/>
          <w:b/>
          <w:bCs/>
        </w:rPr>
        <w:t>Childhood SES</w:t>
      </w:r>
      <w:r w:rsidRPr="004D7AFD">
        <w:rPr>
          <w:rFonts w:cs="Times New Roman"/>
        </w:rPr>
        <w:t xml:space="preserve">. </w:t>
      </w:r>
    </w:p>
    <w:p w14:paraId="5470820D" w14:textId="77777777" w:rsidR="00697045" w:rsidRPr="004D7AFD" w:rsidRDefault="00000000">
      <w:pPr>
        <w:pStyle w:val="BodyText"/>
        <w:rPr>
          <w:rFonts w:cs="Times New Roman"/>
        </w:rPr>
      </w:pPr>
      <w:r w:rsidRPr="004D7AFD">
        <w:rPr>
          <w:rFonts w:cs="Times New Roman"/>
        </w:rPr>
        <w:t xml:space="preserve">IRT techniques are not commonly used in Economics. Originally the IRT techniques were used in the psychometric literature to measure latent traits such as cognitive ability and personality of individuals. More recently this technique has been used in healthcare fields to measure health status of individuals in clinical trials and treatments. In this procedure, the latent trait, known as </w:t>
      </w:r>
      <w:r w:rsidRPr="004D7AFD">
        <w:rPr>
          <w:rFonts w:cs="Times New Roman"/>
          <w:i/>
          <w:iCs/>
        </w:rPr>
        <w:t>score</w:t>
      </w:r>
      <w:r w:rsidRPr="004D7AFD">
        <w:rPr>
          <w:rFonts w:cs="Times New Roman"/>
        </w:rPr>
        <w:t>, is assumed to be a continuous variable and individuals differ in the levels they possess. The procedure uses responses on a number of test items, usually with true/false or with multiple choices, to estimate the level of the latent trait that an individual possesses. The probability of a particular response to an item depends on the individual’s trait level and on item characteristics such as difficulty level to answer a question objectively or the imperfection of the item question to measure the trait, or an individual might be guessing a response. The IRT procedure specifies a probability model of the responses to each item as a function of the level of the latent trait and item characteristics. The procedure uses various statistical methods to estimate the latent trait level and the characteristics of the item. Mainly three statistical estimation procedures are used in the literature — the maximum likelihood (ML) procedure, Bayesian maximum a posteriori (MAP) procedure and expected a posteriori (EAP) procedure. I have used a two parameter IRT model (which includes the well-known Rasch model as a special case) of the probabilities of item responses and the MAP procedure to estimate the individual scores and the set of item parameters. I did this in SAS. See Embretson and Reise (</w:t>
      </w:r>
      <w:hyperlink w:anchor="ref-Embretson.Reise_2000_book">
        <w:r w:rsidRPr="004D7AFD">
          <w:rPr>
            <w:rStyle w:val="Hyperlink"/>
            <w:rFonts w:cs="Times New Roman"/>
          </w:rPr>
          <w:t>2000</w:t>
        </w:r>
      </w:hyperlink>
      <w:r w:rsidRPr="004D7AFD">
        <w:rPr>
          <w:rFonts w:cs="Times New Roman"/>
        </w:rPr>
        <w:t>) for a lucid exposition of the basic one-dimensional IRT models and the above three estimation procedures, see Cai et al. (</w:t>
      </w:r>
      <w:hyperlink w:anchor="ref-Cai.etal_2016">
        <w:r w:rsidRPr="004D7AFD">
          <w:rPr>
            <w:rStyle w:val="Hyperlink"/>
            <w:rFonts w:cs="Times New Roman"/>
          </w:rPr>
          <w:t>2016</w:t>
        </w:r>
      </w:hyperlink>
      <w:r w:rsidRPr="004D7AFD">
        <w:rPr>
          <w:rFonts w:cs="Times New Roman"/>
        </w:rPr>
        <w:t>) for a survey of IRT models of multi-dimensional traits and extensions to dynamic scoring, and see An and Yung (</w:t>
      </w:r>
      <w:hyperlink w:anchor="ref-An.Yung_2014">
        <w:r w:rsidRPr="004D7AFD">
          <w:rPr>
            <w:rStyle w:val="Hyperlink"/>
            <w:rFonts w:cs="Times New Roman"/>
          </w:rPr>
          <w:t>2014</w:t>
        </w:r>
      </w:hyperlink>
      <w:r w:rsidRPr="004D7AFD">
        <w:rPr>
          <w:rFonts w:cs="Times New Roman"/>
        </w:rPr>
        <w:t>) for details on the SAS IRT procedure and general introduction to various IRT procedures that SAS can perform.</w:t>
      </w:r>
    </w:p>
    <w:p w14:paraId="7B3A1ADE" w14:textId="77777777" w:rsidR="00697045" w:rsidRPr="004D7AFD" w:rsidRDefault="00000000">
      <w:pPr>
        <w:pStyle w:val="BodyText"/>
        <w:rPr>
          <w:rFonts w:cs="Times New Roman"/>
        </w:rPr>
      </w:pPr>
      <w:r w:rsidRPr="004D7AFD">
        <w:rPr>
          <w:rFonts w:cs="Times New Roman"/>
        </w:rPr>
        <w:t xml:space="preserve">The demographic variables </w:t>
      </w:r>
      <w:r w:rsidRPr="004D7AFD">
        <w:rPr>
          <w:rFonts w:cs="Times New Roman"/>
          <w:b/>
          <w:bCs/>
        </w:rPr>
        <w:t>White</w:t>
      </w:r>
      <w:r w:rsidRPr="004D7AFD">
        <w:rPr>
          <w:rFonts w:cs="Times New Roman"/>
        </w:rPr>
        <w:t xml:space="preserve"> and </w:t>
      </w:r>
      <w:r w:rsidRPr="004D7AFD">
        <w:rPr>
          <w:rFonts w:cs="Times New Roman"/>
          <w:b/>
          <w:bCs/>
        </w:rPr>
        <w:t>Female</w:t>
      </w:r>
      <w:r w:rsidRPr="004D7AFD">
        <w:rPr>
          <w:rFonts w:cs="Times New Roman"/>
        </w:rPr>
        <w:t xml:space="preserve"> have the standard definitions. The variable </w:t>
      </w:r>
      <w:r w:rsidRPr="004D7AFD">
        <w:rPr>
          <w:rFonts w:cs="Times New Roman"/>
          <w:b/>
          <w:bCs/>
        </w:rPr>
        <w:t>College+</w:t>
      </w:r>
      <w:r w:rsidRPr="004D7AFD">
        <w:rPr>
          <w:rFonts w:cs="Times New Roman"/>
        </w:rPr>
        <w:t xml:space="preserve"> is a binary variable taking value 1 if the respondent has education level of completed college or higher (does not include some college), i.e., has a college degree and more and taking value 0 otherwise.</w:t>
      </w:r>
    </w:p>
    <w:p w14:paraId="7F259F52" w14:textId="77777777" w:rsidR="00697045" w:rsidRPr="004D7AFD" w:rsidRDefault="00000000">
      <w:pPr>
        <w:pStyle w:val="BodyText"/>
        <w:rPr>
          <w:rFonts w:cs="Times New Roman"/>
        </w:rPr>
      </w:pPr>
      <w:r w:rsidRPr="004D7AFD">
        <w:rPr>
          <w:rFonts w:cs="Times New Roman"/>
          <w:b/>
          <w:bCs/>
        </w:rPr>
        <w:t>CES-D:</w:t>
      </w:r>
      <w:r w:rsidRPr="004D7AFD">
        <w:rPr>
          <w:rFonts w:cs="Times New Roman"/>
        </w:rPr>
        <w:t xml:space="preserve"> I used the score on the Center for Epidemiological Studies Depression (CES-D) measure in various waves that is created by RAND release of the HRS data. RAND creates the </w:t>
      </w:r>
      <w:r w:rsidRPr="004D7AFD">
        <w:rPr>
          <w:rFonts w:cs="Times New Roman"/>
        </w:rPr>
        <w:lastRenderedPageBreak/>
        <w:t>score as the sum of five negative indicators minus two positive indicators. “The negative indicators measure whether the Respondent experienced the following sentiments all or most of the time: depression, everything is an effort, sleep is restless, felt alone, felt sad, and could not get going. The positive indicators measure whether the Respondent felt happy and enjoyed life, all or most of the time.” I standardize this score by subtracting 4 and dividing by 8 the RAND measure. The wave 1 had different set of questions so it was not reported in RAND HRS. I imputed it to be the first non-missing future CES-D score. I refer the variable as CES-D in the paper. I use this variable as a measure of stress and depression, see Steffick (</w:t>
      </w:r>
      <w:hyperlink w:anchor="ref-Steffick_2000">
        <w:r w:rsidRPr="004D7AFD">
          <w:rPr>
            <w:rStyle w:val="Hyperlink"/>
            <w:rFonts w:cs="Times New Roman"/>
          </w:rPr>
          <w:t>2000</w:t>
        </w:r>
      </w:hyperlink>
      <w:r w:rsidRPr="004D7AFD">
        <w:rPr>
          <w:rFonts w:cs="Times New Roman"/>
        </w:rPr>
        <w:t>) for discussions and its validity as a measure of stress and depression.</w:t>
      </w:r>
    </w:p>
    <w:p w14:paraId="615E038C" w14:textId="77777777" w:rsidR="00697045" w:rsidRPr="004D7AFD" w:rsidRDefault="00000000">
      <w:pPr>
        <w:pStyle w:val="BodyText"/>
        <w:rPr>
          <w:rFonts w:cs="Times New Roman"/>
        </w:rPr>
      </w:pPr>
      <w:r w:rsidRPr="004D7AFD">
        <w:rPr>
          <w:rFonts w:cs="Times New Roman"/>
          <w:b/>
          <w:bCs/>
        </w:rPr>
        <w:t>Total Cognitive Scores:</w:t>
      </w:r>
      <w:r w:rsidRPr="004D7AFD">
        <w:rPr>
          <w:rFonts w:cs="Times New Roman"/>
        </w:rPr>
        <w:t xml:space="preserve"> This variable is a measure of cognitive functioning. RAND combined the original HRS scores on cognitive function measure which includes “immediate and delayed word recall, the serial 7s test, counting backwards, naming tasks (e.g., date-naming), and vocabulary questions’’. Three of the original HRS cognition summary indices—two indices of scores on 20 and 40 words recalls and a third index is a score on the mental status index which is sum of scores”from counting, naming, and vocabulary tasks”—are added together to create this variable. Again, due to non-compatibility with the rest of the waves, the score in the first wave was not reported in the RAND HRS. I have imputed it by taking the first future non-missing value of this variable.</w:t>
      </w:r>
    </w:p>
    <w:p w14:paraId="6EBB0E50" w14:textId="77777777" w:rsidR="00697045" w:rsidRPr="004D7AFD" w:rsidRDefault="00000000">
      <w:pPr>
        <w:pStyle w:val="BodyText"/>
        <w:rPr>
          <w:rFonts w:cs="Times New Roman"/>
        </w:rPr>
      </w:pPr>
      <w:r w:rsidRPr="004D7AFD">
        <w:rPr>
          <w:rFonts w:cs="Times New Roman"/>
          <w:b/>
          <w:bCs/>
        </w:rPr>
        <w:t>BMI:</w:t>
      </w:r>
      <w:r w:rsidRPr="004D7AFD">
        <w:rPr>
          <w:rFonts w:cs="Times New Roman"/>
        </w:rPr>
        <w:t xml:space="preserve"> The variable body-mass-index (BMI) is the standard measure used in the medical field and HRS collected data on this for all individuals. If it is missing in 1992, I have imputed it with the first future non-missing value for the variable. Following the criterion in the literature, I create the variable BMI taking value 1 if BMI </w:t>
      </w:r>
      <m:oMath>
        <m:r>
          <m:rPr>
            <m:sty m:val="p"/>
          </m:rPr>
          <w:rPr>
            <w:rFonts w:ascii="Cambria Math" w:hAnsi="Cambria Math" w:cs="Times New Roman"/>
          </w:rPr>
          <m:t>&gt;</m:t>
        </m:r>
        <m:r>
          <w:rPr>
            <w:rFonts w:ascii="Cambria Math" w:hAnsi="Cambria Math" w:cs="Times New Roman"/>
          </w:rPr>
          <m:t>25</m:t>
        </m:r>
      </m:oMath>
      <w:r w:rsidRPr="004D7AFD">
        <w:rPr>
          <w:rFonts w:cs="Times New Roman"/>
        </w:rPr>
        <w:t xml:space="preserve"> and value </w:t>
      </w:r>
      <m:oMath>
        <m:r>
          <w:rPr>
            <w:rFonts w:ascii="Cambria Math" w:hAnsi="Cambria Math" w:cs="Times New Roman"/>
          </w:rPr>
          <m:t>0</m:t>
        </m:r>
      </m:oMath>
      <w:r w:rsidRPr="004D7AFD">
        <w:rPr>
          <w:rFonts w:cs="Times New Roman"/>
        </w:rPr>
        <w:t xml:space="preserve"> otherwise.</w:t>
      </w:r>
    </w:p>
    <w:p w14:paraId="192107F4" w14:textId="77777777" w:rsidR="00697045" w:rsidRPr="004D7AFD" w:rsidRDefault="00000000">
      <w:pPr>
        <w:pStyle w:val="BodyText"/>
        <w:rPr>
          <w:rFonts w:cs="Times New Roman"/>
        </w:rPr>
      </w:pPr>
      <w:r w:rsidRPr="004D7AFD">
        <w:rPr>
          <w:rFonts w:cs="Times New Roman"/>
        </w:rPr>
        <w:t>Now I describe the construction of the behavioral variables.</w:t>
      </w:r>
    </w:p>
    <w:p w14:paraId="233ADCE8" w14:textId="77777777" w:rsidR="00697045" w:rsidRPr="004D7AFD" w:rsidRDefault="00000000">
      <w:pPr>
        <w:pStyle w:val="BodyText"/>
        <w:rPr>
          <w:rFonts w:cs="Times New Roman"/>
        </w:rPr>
      </w:pPr>
      <w:r w:rsidRPr="004D7AFD">
        <w:rPr>
          <w:rFonts w:cs="Times New Roman"/>
          <w:b/>
          <w:bCs/>
        </w:rPr>
        <w:t>Behavior: Smoking:</w:t>
      </w:r>
      <w:r w:rsidRPr="004D7AFD">
        <w:rPr>
          <w:rFonts w:cs="Times New Roman"/>
        </w:rPr>
        <w:t xml:space="preserve"> This variable is constructed to be a binary variable taking value 1 if the respondent has reported yes to ever smoked question during any of the waves as reported in the RAND HRS data and then repeated the value for all the years.</w:t>
      </w:r>
    </w:p>
    <w:p w14:paraId="24396BC7" w14:textId="77777777" w:rsidR="00697045" w:rsidRPr="004D7AFD" w:rsidRDefault="00000000">
      <w:pPr>
        <w:pStyle w:val="BodyText"/>
        <w:rPr>
          <w:rFonts w:cs="Times New Roman"/>
        </w:rPr>
      </w:pPr>
      <w:r w:rsidRPr="004D7AFD">
        <w:rPr>
          <w:rFonts w:cs="Times New Roman"/>
          <w:b/>
          <w:bCs/>
        </w:rPr>
        <w:t>Behavior: Exercising:</w:t>
      </w:r>
      <w:r w:rsidRPr="004D7AFD">
        <w:rPr>
          <w:rFonts w:cs="Times New Roman"/>
        </w:rPr>
        <w:t xml:space="preserve"> The RAND HRS has data on whether the respondent did vigorous exercise three or more days per week. This variable takes value 1 if the respondent did vigorous </w:t>
      </w:r>
      <w:r w:rsidRPr="004D7AFD">
        <w:rPr>
          <w:rFonts w:cs="Times New Roman"/>
        </w:rPr>
        <w:lastRenderedPageBreak/>
        <w:t>exercise three or more days per week in any of the waves, otherwise it takes value 0. The values are repeated for all the years.</w:t>
      </w:r>
    </w:p>
    <w:p w14:paraId="49E86D4F" w14:textId="77777777" w:rsidR="00697045" w:rsidRPr="004D7AFD" w:rsidRDefault="00000000">
      <w:pPr>
        <w:pStyle w:val="BodyText"/>
        <w:rPr>
          <w:rFonts w:cs="Times New Roman"/>
        </w:rPr>
      </w:pPr>
      <w:r w:rsidRPr="004D7AFD">
        <w:rPr>
          <w:rFonts w:cs="Times New Roman"/>
          <w:b/>
          <w:bCs/>
        </w:rPr>
        <w:t>Childhood SES:</w:t>
      </w:r>
      <w:r w:rsidRPr="004D7AFD">
        <w:rPr>
          <w:rFonts w:cs="Times New Roman"/>
        </w:rPr>
        <w:t xml:space="preserve"> This variable is a binary variable measuring childhood SES. I constructed it using the IRT procedure as follows. From the HRS data I created four binary variables using the original categorical data on whether family moved for financial reason, family usually got financial help during childhood, father unemployed during childhood, father’s usual occupation during childhood. For each variable, I assigned 0, if it is disadvantageous and 1 if it is advantageous; three tertiary variables two on each parent’s education levels assigning 0 = High School dropout, 1 = some college, 2 = completed college and higher and the third on family financial situation (0 = poor, 1 = average, 2 = well-off). I used these seven variables as items in the IRT procedure to first compute a continuous score estimate and then I define </w:t>
      </w:r>
      <w:r w:rsidRPr="004D7AFD">
        <w:rPr>
          <w:rFonts w:cs="Times New Roman"/>
          <w:b/>
          <w:bCs/>
        </w:rPr>
        <w:t>Childhood SES</w:t>
      </w:r>
      <w:r w:rsidRPr="004D7AFD">
        <w:rPr>
          <w:rFonts w:cs="Times New Roman"/>
        </w:rPr>
        <w:t xml:space="preserve"> = 1 if the score is above mean plus one standard deviation of the scores and 0 otherwise.</w:t>
      </w:r>
    </w:p>
    <w:p w14:paraId="74B65C7E" w14:textId="77777777" w:rsidR="00697045" w:rsidRPr="004D7AFD" w:rsidRDefault="00000000">
      <w:pPr>
        <w:pStyle w:val="BodyText"/>
        <w:rPr>
          <w:rFonts w:cs="Times New Roman"/>
        </w:rPr>
      </w:pPr>
      <w:r w:rsidRPr="004D7AFD">
        <w:rPr>
          <w:rFonts w:cs="Times New Roman"/>
          <w:b/>
          <w:bCs/>
        </w:rPr>
        <w:t>Childhood Health</w:t>
      </w:r>
      <w:r w:rsidRPr="004D7AFD">
        <w:rPr>
          <w:rFonts w:cs="Times New Roman"/>
        </w:rPr>
        <w:t xml:space="preserve"> is a binary measure of childhood health constructed from the self-reported qualitative childhood health variable in HRS. I define </w:t>
      </w:r>
      <w:r w:rsidRPr="004D7AFD">
        <w:rPr>
          <w:rFonts w:cs="Times New Roman"/>
          <w:b/>
          <w:bCs/>
        </w:rPr>
        <w:t>Childhood Health</w:t>
      </w:r>
      <w:r w:rsidRPr="004D7AFD">
        <w:rPr>
          <w:rFonts w:cs="Times New Roman"/>
        </w:rPr>
        <w:t xml:space="preserve"> = 1 if the respondent reported very good or excellent health, and zero otherwise.</w:t>
      </w:r>
    </w:p>
    <w:p w14:paraId="13074417" w14:textId="77777777" w:rsidR="00697045" w:rsidRPr="004D7AFD" w:rsidRDefault="00000000">
      <w:pPr>
        <w:pStyle w:val="BodyText"/>
        <w:rPr>
          <w:rFonts w:cs="Times New Roman"/>
        </w:rPr>
      </w:pPr>
      <w:r w:rsidRPr="004D7AFD">
        <w:rPr>
          <w:rFonts w:cs="Times New Roman"/>
          <w:b/>
          <w:bCs/>
        </w:rPr>
        <w:t>Init.HLTH</w:t>
      </w:r>
      <w:r w:rsidRPr="004D7AFD">
        <w:rPr>
          <w:rFonts w:cs="Times New Roman"/>
        </w:rPr>
        <w:t xml:space="preserve"> is a categorical variable denoting the initial health state of an respondent right before the respondent entered the Health and Retirement Study. It takes value </w:t>
      </w:r>
      <m:oMath>
        <m:r>
          <w:rPr>
            <w:rFonts w:ascii="Cambria Math" w:hAnsi="Cambria Math" w:cs="Times New Roman"/>
          </w:rPr>
          <m:t>1</m:t>
        </m:r>
      </m:oMath>
      <w:r w:rsidRPr="004D7AFD">
        <w:rPr>
          <w:rFonts w:cs="Times New Roman"/>
        </w:rPr>
        <w:t xml:space="preserve">, if the respondent was in normal health and value </w:t>
      </w:r>
      <m:oMath>
        <m:r>
          <w:rPr>
            <w:rFonts w:ascii="Cambria Math" w:hAnsi="Cambria Math" w:cs="Times New Roman"/>
          </w:rPr>
          <m:t>2</m:t>
        </m:r>
      </m:oMath>
      <w:r w:rsidRPr="004D7AFD">
        <w:rPr>
          <w:rFonts w:cs="Times New Roman"/>
        </w:rPr>
        <w:t xml:space="preserve"> if the respondent had one-or-more serious diseases.</w:t>
      </w:r>
    </w:p>
    <w:p w14:paraId="18CBD2A4" w14:textId="77777777" w:rsidR="00697045" w:rsidRPr="004D7AFD" w:rsidRDefault="00000000">
      <w:pPr>
        <w:pStyle w:val="Heading2"/>
        <w:rPr>
          <w:rFonts w:cs="Times New Roman"/>
        </w:rPr>
      </w:pPr>
      <w:bookmarkStart w:id="25" w:name="sec-sec4-2"/>
      <w:bookmarkEnd w:id="24"/>
      <w:r w:rsidRPr="004D7AFD">
        <w:rPr>
          <w:rFonts w:cs="Times New Roman"/>
        </w:rPr>
        <w:t>Time varying transition intensities without covariates</w:t>
      </w:r>
    </w:p>
    <w:p w14:paraId="5E5C9E77" w14:textId="77777777" w:rsidR="00697045" w:rsidRPr="004D7AFD" w:rsidRDefault="00000000">
      <w:pPr>
        <w:pStyle w:val="FirstParagraph"/>
        <w:rPr>
          <w:rFonts w:cs="Times New Roman"/>
        </w:rPr>
      </w:pPr>
      <w:r w:rsidRPr="004D7AFD">
        <w:rPr>
          <w:rFonts w:cs="Times New Roman"/>
        </w:rPr>
        <w:t xml:space="preserve">In this section, I report the estimated transition probabilities for the overall population without covariates. Denote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the probability of transition to state </w:t>
      </w:r>
      <m:oMath>
        <m:r>
          <w:rPr>
            <w:rFonts w:ascii="Cambria Math" w:hAnsi="Cambria Math" w:cs="Times New Roman"/>
          </w:rPr>
          <m:t>j</m:t>
        </m:r>
      </m:oMath>
      <w:r w:rsidRPr="004D7AFD">
        <w:rPr>
          <w:rFonts w:cs="Times New Roman"/>
        </w:rPr>
        <w:t xml:space="preserve"> by time </w:t>
      </w:r>
      <m:oMath>
        <m:r>
          <w:rPr>
            <w:rFonts w:ascii="Cambria Math" w:hAnsi="Cambria Math" w:cs="Times New Roman"/>
          </w:rPr>
          <m:t>t</m:t>
        </m:r>
      </m:oMath>
      <w:r w:rsidRPr="004D7AFD">
        <w:rPr>
          <w:rFonts w:cs="Times New Roman"/>
        </w:rPr>
        <w:t xml:space="preserve"> starting from state </w:t>
      </w:r>
      <m:oMath>
        <m:r>
          <w:rPr>
            <w:rFonts w:ascii="Cambria Math" w:hAnsi="Cambria Math" w:cs="Times New Roman"/>
          </w:rPr>
          <m:t>i</m:t>
        </m:r>
      </m:oMath>
      <w:r w:rsidRPr="004D7AFD">
        <w:rPr>
          <w:rFonts w:cs="Times New Roman"/>
        </w:rPr>
        <w:t xml:space="preserve"> at the base age </w:t>
      </w:r>
      <m:oMath>
        <m:r>
          <w:rPr>
            <w:rFonts w:ascii="Cambria Math" w:hAnsi="Cambria Math" w:cs="Times New Roman"/>
          </w:rPr>
          <m:t>51</m:t>
        </m:r>
      </m:oMath>
      <w:r w:rsidRPr="004D7AFD">
        <w:rPr>
          <w:rFonts w:cs="Times New Roman"/>
        </w:rPr>
        <w:t xml:space="preserve"> (the base period in this paper is age 51). I compute the Aalen-Johansen estimates of the transition probabilities and their standard errors using the R package, </w:t>
      </w:r>
      <w:r w:rsidRPr="004D7AFD">
        <w:rPr>
          <w:rFonts w:cs="Times New Roman"/>
          <w:i/>
          <w:iCs/>
        </w:rPr>
        <w:t>mstate</w:t>
      </w:r>
      <w:r w:rsidRPr="004D7AFD">
        <w:rPr>
          <w:rFonts w:cs="Times New Roman"/>
        </w:rPr>
        <w:t>, developed and described by the authors in Wreede, Fiocco, and Putter (</w:t>
      </w:r>
      <w:hyperlink w:anchor="ref-Wreede.etal_2010">
        <w:r w:rsidRPr="004D7AFD">
          <w:rPr>
            <w:rStyle w:val="Hyperlink"/>
            <w:rFonts w:cs="Times New Roman"/>
          </w:rPr>
          <w:t>2010</w:t>
        </w:r>
      </w:hyperlink>
      <w:r w:rsidRPr="004D7AFD">
        <w:rPr>
          <w:rFonts w:cs="Times New Roman"/>
        </w:rPr>
        <w:t xml:space="preserve">). I report corresponding estimated probabilities in </w:t>
      </w:r>
      <w:hyperlink w:anchor="tbl-table5">
        <w:r w:rsidRPr="004D7AFD">
          <w:rPr>
            <w:rStyle w:val="Hyperlink"/>
            <w:rFonts w:cs="Times New Roman"/>
          </w:rPr>
          <w:t>Table 2</w:t>
        </w:r>
      </w:hyperlink>
      <w:r w:rsidRPr="004D7AFD">
        <w:rPr>
          <w:rFonts w:cs="Times New Roman"/>
        </w:rPr>
        <w:t xml:space="preserve"> and plot these probabilities in </w:t>
      </w:r>
      <w:hyperlink w:anchor="fig-fig2">
        <w:r w:rsidRPr="004D7AFD">
          <w:rPr>
            <w:rStyle w:val="Hyperlink"/>
            <w:rFonts w:cs="Times New Roman"/>
          </w:rPr>
          <w:t>Figure 3</w:t>
        </w:r>
      </w:hyperlink>
      <w:r w:rsidRPr="004D7AFD">
        <w:rPr>
          <w:rFonts w:cs="Times New Roman"/>
        </w:rPr>
        <w:t>.</w:t>
      </w:r>
    </w:p>
    <w:p w14:paraId="2238209C" w14:textId="77777777" w:rsidR="00697045" w:rsidRPr="004D7AFD" w:rsidRDefault="00000000">
      <w:pPr>
        <w:pStyle w:val="BodyText"/>
        <w:rPr>
          <w:rFonts w:cs="Times New Roman"/>
        </w:rPr>
      </w:pPr>
      <w:hyperlink w:anchor="fig-fig2">
        <w:r w:rsidRPr="004D7AFD">
          <w:rPr>
            <w:rStyle w:val="Hyperlink"/>
            <w:rFonts w:cs="Times New Roman"/>
          </w:rPr>
          <w:t>Figure 3</w:t>
        </w:r>
      </w:hyperlink>
      <w:r w:rsidRPr="004D7AFD">
        <w:rPr>
          <w:rFonts w:cs="Times New Roman"/>
        </w:rPr>
        <w:t xml:space="preserve"> panel(a) shows the probabilities of a representative individual of age 51 to remain in normal health, contact one-or-more diseases, become disabled or die as the years pass by. </w:t>
      </w:r>
      <w:r w:rsidRPr="004D7AFD">
        <w:rPr>
          <w:rFonts w:cs="Times New Roman"/>
        </w:rPr>
        <w:lastRenderedPageBreak/>
        <w:t xml:space="preserve">Similarly, </w:t>
      </w:r>
      <w:hyperlink w:anchor="fig-fig2">
        <w:r w:rsidRPr="004D7AFD">
          <w:rPr>
            <w:rStyle w:val="Hyperlink"/>
            <w:rFonts w:cs="Times New Roman"/>
          </w:rPr>
          <w:t>Figure 3</w:t>
        </w:r>
      </w:hyperlink>
      <w:r w:rsidRPr="004D7AFD">
        <w:rPr>
          <w:rFonts w:cs="Times New Roman"/>
        </w:rPr>
        <w:t xml:space="preserve"> panel(b) shows the corresponding probabilities for an individual of age 51 who is in the health state of one-or more diseases.</w:t>
      </w:r>
    </w:p>
    <w:tbl>
      <w:tblPr>
        <w:tblW w:w="5000" w:type="pct"/>
        <w:tblLook w:val="0000" w:firstRow="0" w:lastRow="0" w:firstColumn="0" w:lastColumn="0" w:noHBand="0" w:noVBand="0"/>
      </w:tblPr>
      <w:tblGrid>
        <w:gridCol w:w="9360"/>
      </w:tblGrid>
      <w:tr w:rsidR="00697045" w:rsidRPr="004D7AFD" w14:paraId="0379F42F" w14:textId="77777777">
        <w:tc>
          <w:tcPr>
            <w:tcW w:w="0" w:type="auto"/>
          </w:tcPr>
          <w:p w14:paraId="5E47D14B" w14:textId="77777777" w:rsidR="00697045" w:rsidRPr="004D7AFD" w:rsidRDefault="00000000">
            <w:pPr>
              <w:jc w:val="center"/>
              <w:rPr>
                <w:rFonts w:cs="Times New Roman"/>
              </w:rPr>
            </w:pPr>
            <w:bookmarkStart w:id="26" w:name="fig-fig2"/>
            <w:r w:rsidRPr="004D7AFD">
              <w:rPr>
                <w:rFonts w:cs="Times New Roman"/>
                <w:noProof/>
              </w:rPr>
              <w:drawing>
                <wp:inline distT="0" distB="0" distL="0" distR="0" wp14:anchorId="1A0779F5" wp14:editId="2BDE6C25">
                  <wp:extent cx="5943600" cy="288667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gs_n_Tables/Figs/FromR/Fig2.png"/>
                          <pic:cNvPicPr>
                            <a:picLocks noChangeAspect="1" noChangeArrowheads="1"/>
                          </pic:cNvPicPr>
                        </pic:nvPicPr>
                        <pic:blipFill>
                          <a:blip r:embed="rId9"/>
                          <a:stretch>
                            <a:fillRect/>
                          </a:stretch>
                        </pic:blipFill>
                        <pic:spPr bwMode="auto">
                          <a:xfrm>
                            <a:off x="0" y="0"/>
                            <a:ext cx="5943600" cy="2886670"/>
                          </a:xfrm>
                          <a:prstGeom prst="rect">
                            <a:avLst/>
                          </a:prstGeom>
                          <a:noFill/>
                          <a:ln w="9525">
                            <a:noFill/>
                            <a:headEnd/>
                            <a:tailEnd/>
                          </a:ln>
                        </pic:spPr>
                      </pic:pic>
                    </a:graphicData>
                  </a:graphic>
                </wp:inline>
              </w:drawing>
            </w:r>
          </w:p>
          <w:p w14:paraId="0435152C" w14:textId="77777777" w:rsidR="00697045" w:rsidRPr="004D7AFD" w:rsidRDefault="00000000">
            <w:pPr>
              <w:pStyle w:val="ImageCaption"/>
              <w:spacing w:before="200"/>
              <w:rPr>
                <w:rFonts w:cs="Times New Roman"/>
              </w:rPr>
            </w:pPr>
            <w:r w:rsidRPr="004D7AFD">
              <w:rPr>
                <w:rFonts w:cs="Times New Roman"/>
              </w:rPr>
              <w:t>Figure 3: Transition probabilities (a) from normal health state and (b)from one-or-more diseased health state</w:t>
            </w:r>
          </w:p>
        </w:tc>
        <w:bookmarkEnd w:id="26"/>
      </w:tr>
    </w:tbl>
    <w:p w14:paraId="78994F37" w14:textId="77777777" w:rsidR="00697045" w:rsidRPr="004D7AFD" w:rsidRDefault="00000000">
      <w:pPr>
        <w:pStyle w:val="BodyText"/>
        <w:rPr>
          <w:rFonts w:cs="Times New Roman"/>
        </w:rPr>
      </w:pPr>
      <w:r w:rsidRPr="004D7AFD">
        <w:rPr>
          <w:rFonts w:cs="Times New Roman"/>
        </w:rPr>
        <w:t xml:space="preserve"> </w:t>
      </w:r>
    </w:p>
    <w:p w14:paraId="2C80EE43" w14:textId="77777777" w:rsidR="00697045" w:rsidRPr="004D7AFD" w:rsidRDefault="00000000">
      <w:pPr>
        <w:pStyle w:val="TableCaption"/>
        <w:rPr>
          <w:rFonts w:cs="Times New Roman"/>
        </w:rPr>
      </w:pPr>
      <w:bookmarkStart w:id="27" w:name="tbl-table5"/>
      <w:r w:rsidRPr="004D7AFD">
        <w:rPr>
          <w:rFonts w:cs="Times New Roman"/>
        </w:rPr>
        <w:t xml:space="preserve">Table 2: Transition probabilities for transition </w:t>
      </w:r>
      <m:oMath>
        <m:r>
          <w:rPr>
            <w:rFonts w:ascii="Cambria Math" w:hAnsi="Cambria Math" w:cs="Times New Roman"/>
          </w:rPr>
          <m:t>i→j</m:t>
        </m:r>
      </m:oMath>
      <w:r w:rsidRPr="004D7AFD">
        <w:rPr>
          <w:rFonts w:cs="Times New Roman"/>
        </w:rPr>
        <w:t xml:space="preserve"> by duration of stay in state 1 and 2 from the semi-parametric multistate model</w:t>
      </w:r>
    </w:p>
    <w:tbl>
      <w:tblPr>
        <w:tblW w:w="0" w:type="auto"/>
        <w:tblLook w:val="0000" w:firstRow="0" w:lastRow="0" w:firstColumn="0" w:lastColumn="0" w:noHBand="0" w:noVBand="0"/>
        <w:tblCaption w:val="Table 2: Transition probabilities for transition i \to j by duration of stay in state 1 and 2 from the semi-parametric multistate model"/>
      </w:tblPr>
      <w:tblGrid>
        <w:gridCol w:w="1016"/>
        <w:gridCol w:w="765"/>
        <w:gridCol w:w="765"/>
        <w:gridCol w:w="765"/>
        <w:gridCol w:w="765"/>
        <w:gridCol w:w="765"/>
        <w:gridCol w:w="765"/>
        <w:gridCol w:w="765"/>
        <w:gridCol w:w="383"/>
        <w:gridCol w:w="383"/>
      </w:tblGrid>
      <w:tr w:rsidR="00697045" w:rsidRPr="004D7AFD" w14:paraId="09787C0B" w14:textId="77777777">
        <w:trPr>
          <w:gridAfter w:val="1"/>
        </w:trPr>
        <w:tc>
          <w:tcPr>
            <w:tcW w:w="0" w:type="auto"/>
            <w:gridSpan w:val="9"/>
          </w:tcPr>
          <w:p w14:paraId="69414ECA" w14:textId="77777777" w:rsidR="00697045" w:rsidRPr="004D7AFD" w:rsidRDefault="00697045">
            <w:pPr>
              <w:pStyle w:val="Compact"/>
              <w:rPr>
                <w:rFonts w:cs="Times New Roman"/>
              </w:rPr>
            </w:pPr>
          </w:p>
        </w:tc>
      </w:tr>
      <w:bookmarkEnd w:id="27"/>
      <w:tr w:rsidR="00697045" w:rsidRPr="004D7AFD" w14:paraId="4B109806"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E3B719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Duration</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9824FA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737902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9A27FE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A10FF2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91882C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C5D2A5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D2EFC3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1 → 4</w:t>
            </w:r>
          </w:p>
        </w:tc>
        <w:tc>
          <w:tcPr>
            <w:tcW w:w="0" w:type="auto"/>
            <w:gridSpan w:val="2"/>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E8DA56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2 → 4</w:t>
            </w:r>
          </w:p>
        </w:tc>
      </w:tr>
      <w:tr w:rsidR="00697045" w:rsidRPr="004D7AFD" w14:paraId="40EAE71F"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A4EC0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51</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FFFBE2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1.0000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12FCB4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1.0000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196DB4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36632B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2B56C9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51443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56F394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F6461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r>
      <w:tr w:rsidR="00697045" w:rsidRPr="004D7AFD" w14:paraId="2EB9B50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6E2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B722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0.9946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6636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0.9895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F890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D1D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4640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E0D2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616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0.0054</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E7D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0.0105</w:t>
            </w:r>
          </w:p>
        </w:tc>
      </w:tr>
      <w:tr w:rsidR="00697045" w:rsidRPr="004D7AFD" w14:paraId="0335A04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56343D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2E1E3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0.8982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4AFE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0.9736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81337F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0.0857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56DE0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0.0124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391014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0.0054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EA93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0.0000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2A654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0.0108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B7B45E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0.0141</w:t>
            </w:r>
          </w:p>
        </w:tc>
      </w:tr>
      <w:tr w:rsidR="00697045" w:rsidRPr="004D7AFD" w14:paraId="5001A7A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2E38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008D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0.8414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EE1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0.9550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A55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0.1360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7F58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34BD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0F3A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066B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0.0132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8AC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0.0213</w:t>
            </w:r>
          </w:p>
        </w:tc>
      </w:tr>
      <w:tr w:rsidR="00697045" w:rsidRPr="004D7AFD" w14:paraId="760C677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A89FC4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A9FE94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0.7665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3C4956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0.9254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7A4064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0.2031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A92A43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0.0325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6B3CA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0.0124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A695A4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0.0144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6B9A69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0.0180</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B39DE2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0.0277</w:t>
            </w:r>
          </w:p>
        </w:tc>
      </w:tr>
      <w:tr w:rsidR="00697045" w:rsidRPr="004D7AFD" w14:paraId="72B92A0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93BD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935D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572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0.9029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0FE6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0.2523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E52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061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0.0183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ED8D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2D84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0.0221</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FD98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0.0348</w:t>
            </w:r>
          </w:p>
        </w:tc>
      </w:tr>
      <w:tr w:rsidR="00697045" w:rsidRPr="004D7AFD" w14:paraId="69842A08"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8DE61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2C01BE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0.6391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EFA4A5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0.8800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30225D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0.3101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472CBA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0.0510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2FA922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0.0227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C540D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0.0275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754BF0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0.0280</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930A05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0.0415</w:t>
            </w:r>
          </w:p>
        </w:tc>
      </w:tr>
      <w:tr w:rsidR="00697045" w:rsidRPr="004D7AFD" w14:paraId="475062A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D5B7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B711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0.5861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B54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0.8569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F3FC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0.3503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76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0.0558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C8DE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D832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D691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0.0337</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4EC0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0.0498</w:t>
            </w:r>
          </w:p>
        </w:tc>
      </w:tr>
      <w:tr w:rsidR="00697045" w:rsidRPr="004D7AFD" w14:paraId="6F21168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E54F6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59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524C94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0.5326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F49DFE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0.8331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01EEB6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0.3935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D3A4DB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0.0644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0C3A01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0.0354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BE1BFA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0.0458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E82BBC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0.0385</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86A3FE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0.0567</w:t>
            </w:r>
          </w:p>
        </w:tc>
      </w:tr>
      <w:tr w:rsidR="00697045" w:rsidRPr="004D7AFD" w14:paraId="718F410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AA5B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53C5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0.4931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D3E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0.8106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2A15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0.4213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3E2B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602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F3BB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0.0545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2E37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0.0444</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8CC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0.0655</w:t>
            </w:r>
          </w:p>
        </w:tc>
      </w:tr>
      <w:tr w:rsidR="00697045" w:rsidRPr="004D7AFD" w14:paraId="2F9A62B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FBF92D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61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37163E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0.4455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011687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0.7921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6E03E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0.4540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3DA99F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0.0696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4522D2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0.0478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F9A9AB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0.0617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92D3F4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0.0528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7E0A15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0.0766</w:t>
            </w:r>
          </w:p>
        </w:tc>
      </w:tr>
      <w:tr w:rsidR="00697045" w:rsidRPr="004D7AFD" w14:paraId="46357DC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9033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CD91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193E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426D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0.4792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2CDB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980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0.0572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3887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68A0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0.0603</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129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0.0861</w:t>
            </w:r>
          </w:p>
        </w:tc>
      </w:tr>
      <w:tr w:rsidR="00697045" w:rsidRPr="004D7AFD" w14:paraId="77A907C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D27215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63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13715F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0.3648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951AAC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0.7581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D10465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0.5069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665E9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0.0702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48173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0.0614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6B011B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0.0773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BA581A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0.0669</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76C0FD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0.0944</w:t>
            </w:r>
          </w:p>
        </w:tc>
      </w:tr>
      <w:tr w:rsidR="00697045" w:rsidRPr="004D7AFD" w14:paraId="3424E50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E7C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CDF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0.3626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5E65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0.7471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3188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0.4995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113B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D319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271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0.0801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EBB8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0.0740</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BEEC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0.1030</w:t>
            </w:r>
          </w:p>
        </w:tc>
      </w:tr>
      <w:tr w:rsidR="00697045" w:rsidRPr="004D7AFD" w14:paraId="61D681C8"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672D3A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b/>
                <w:color w:val="000000"/>
                <w:sz w:val="22"/>
                <w:szCs w:val="22"/>
              </w:rPr>
              <w:t>65</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E2E512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0.3071</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1ED55A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0.7381</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8FC094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0.5496</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7FD2E0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0.0718</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66DAB93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0.0648</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6FFFB56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0.0815</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3FDE8B5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0.0785</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793F2C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80" w:right="80"/>
              <w:jc w:val="right"/>
              <w:rPr>
                <w:rFonts w:cs="Times New Roman"/>
              </w:rPr>
            </w:pPr>
            <w:r w:rsidRPr="004D7AFD">
              <w:rPr>
                <w:rFonts w:eastAsia="Arial" w:cs="Times New Roman"/>
                <w:color w:val="000000"/>
                <w:sz w:val="22"/>
                <w:szCs w:val="22"/>
              </w:rPr>
              <w:t>0.1086</w:t>
            </w:r>
          </w:p>
        </w:tc>
      </w:tr>
    </w:tbl>
    <w:p w14:paraId="7D3DB14A" w14:textId="77777777" w:rsidR="00697045" w:rsidRPr="004D7AFD" w:rsidRDefault="00000000">
      <w:pPr>
        <w:pStyle w:val="Heading1"/>
        <w:rPr>
          <w:rFonts w:cs="Times New Roman"/>
        </w:rPr>
      </w:pPr>
      <w:bookmarkStart w:id="28" w:name="sec-sec5"/>
      <w:bookmarkEnd w:id="22"/>
      <w:bookmarkEnd w:id="25"/>
      <w:r w:rsidRPr="004D7AFD">
        <w:rPr>
          <w:rFonts w:cs="Times New Roman"/>
        </w:rPr>
        <w:lastRenderedPageBreak/>
        <w:t>Childhood factors, health behaviors and mid-age health outcomes</w:t>
      </w:r>
    </w:p>
    <w:p w14:paraId="42C769B4" w14:textId="77777777" w:rsidR="00697045" w:rsidRPr="004D7AFD" w:rsidRDefault="00000000">
      <w:pPr>
        <w:pStyle w:val="FirstParagraph"/>
        <w:rPr>
          <w:rFonts w:cs="Times New Roman"/>
        </w:rPr>
      </w:pPr>
      <w:r w:rsidRPr="004D7AFD">
        <w:rPr>
          <w:rFonts w:cs="Times New Roman"/>
        </w:rPr>
        <w:t>As mentioned in the introduction, the molecular biology literature points out that stressors of the body cells are important factors during early development and later life health progression.</w:t>
      </w:r>
      <w:r w:rsidRPr="004D7AFD">
        <w:rPr>
          <w:rStyle w:val="FootnoteReference"/>
          <w:rFonts w:cs="Times New Roman"/>
        </w:rPr>
        <w:footnoteReference w:id="10"/>
      </w:r>
      <w:r w:rsidRPr="004D7AFD">
        <w:rPr>
          <w:rFonts w:cs="Times New Roman"/>
        </w:rPr>
        <w:t xml:space="preserve"> While cellular level stressors during early cell developments cannot be directly observed or measured, many socioeconomic factors that modulate the cell level stressors can be observed. Those early-life socioeconomic factors thus maybe be associated with early-life health outcomes. Furthermore, early-life health developments together with later-life health behaviors determine later-life health outcomes. Health behaviors are also partly determined by cognitive abilities. Education level, an indicator of cognitive ability, can thus affect health behaviors and health developments in later life. Education is also an important determinant of earnings, which affect health related expenditures and thus health outcomes.</w:t>
      </w:r>
    </w:p>
    <w:p w14:paraId="772F081D" w14:textId="77777777" w:rsidR="00697045" w:rsidRPr="004D7AFD" w:rsidRDefault="00000000">
      <w:pPr>
        <w:pStyle w:val="BodyText"/>
        <w:rPr>
          <w:rFonts w:cs="Times New Roman"/>
        </w:rPr>
      </w:pPr>
      <w:r w:rsidRPr="004D7AFD">
        <w:rPr>
          <w:rFonts w:cs="Times New Roman"/>
        </w:rPr>
        <w:t>The HRS dataset does not have prenatal or postnatal data on individuals. It has a few variables on childhood socioeconomic status, which are correlates of the stressors of cell developments. How does one quantify childhood SES (denoted as cSES now on)? There is no consensus on what exactly constitutes cSES. Some studies use different sets of variables to represent cSES. For instance, Heckman and Raut (</w:t>
      </w:r>
      <w:hyperlink w:anchor="ref-Heckman.Raut_2016">
        <w:r w:rsidRPr="004D7AFD">
          <w:rPr>
            <w:rStyle w:val="Hyperlink"/>
            <w:rFonts w:cs="Times New Roman"/>
          </w:rPr>
          <w:t>2016</w:t>
        </w:r>
      </w:hyperlink>
      <w:r w:rsidRPr="004D7AFD">
        <w:rPr>
          <w:rFonts w:cs="Times New Roman"/>
        </w:rPr>
        <w:t>) and a few other studies used parents’ education as a measure of childhood SES in modeling the attainment of college degree. Luo and Waite (</w:t>
      </w:r>
      <w:hyperlink w:anchor="ref-Luo.Waite_2005">
        <w:r w:rsidRPr="004D7AFD">
          <w:rPr>
            <w:rStyle w:val="Hyperlink"/>
            <w:rFonts w:cs="Times New Roman"/>
          </w:rPr>
          <w:t>2005</w:t>
        </w:r>
      </w:hyperlink>
      <w:r w:rsidRPr="004D7AFD">
        <w:rPr>
          <w:rFonts w:cs="Times New Roman"/>
        </w:rPr>
        <w:t>) used Father’s and Mother’s education and the Family financial well-being as regressors without aggregating them into a single measure to examine how these variables affect middle age health outcomes for the HRS sample. It is, however, useful to have a single measure of cSES. Some studies used the latent variable approach to come up with a statistically defined measure of cSES. For instance, Vable et al. (</w:t>
      </w:r>
      <w:hyperlink w:anchor="ref-Vable.etal_2017">
        <w:r w:rsidRPr="004D7AFD">
          <w:rPr>
            <w:rStyle w:val="Hyperlink"/>
            <w:rFonts w:cs="Times New Roman"/>
          </w:rPr>
          <w:t>2017</w:t>
        </w:r>
      </w:hyperlink>
      <w:r w:rsidRPr="004D7AFD">
        <w:rPr>
          <w:rFonts w:cs="Times New Roman"/>
        </w:rPr>
        <w:t>) used the Mplus software to create their latent variable measure of cSES using a number of childhood variables from the HRS dataset. I have used a slightly different latent variable statistical procedure, namely IRT, on a set of parental characteristics during the childhood of the respondents.  I use this variable and a few other variables in the Logistic regression models of the childhood factors described below.</w:t>
      </w:r>
    </w:p>
    <w:p w14:paraId="625725B0" w14:textId="77777777" w:rsidR="00697045" w:rsidRPr="004D7AFD" w:rsidRDefault="00000000">
      <w:pPr>
        <w:pStyle w:val="BodyText"/>
        <w:rPr>
          <w:rFonts w:cs="Times New Roman"/>
        </w:rPr>
      </w:pPr>
      <w:r w:rsidRPr="004D7AFD">
        <w:rPr>
          <w:rFonts w:cs="Times New Roman"/>
        </w:rPr>
        <w:lastRenderedPageBreak/>
        <w:t>Childhood health status (cHLTH) is an important factor for later life health outcomes and educational attainments. The cSES variable influences the stressors of the cells’ environment and thus will affect cHLTH. Apart from cSES, other factors such as nutrition and pediatric health care are also important factors. We do not have data on those variables. In the next subsection I will specify a Logit model of cHLTH with childhood socioeconomic status and other observable characteristics as regressors.</w:t>
      </w:r>
    </w:p>
    <w:p w14:paraId="444DB32B" w14:textId="77777777" w:rsidR="00697045" w:rsidRPr="004D7AFD" w:rsidRDefault="00000000">
      <w:pPr>
        <w:pStyle w:val="BodyText"/>
        <w:rPr>
          <w:rFonts w:cs="Times New Roman"/>
        </w:rPr>
      </w:pPr>
      <w:r w:rsidRPr="004D7AFD">
        <w:rPr>
          <w:rFonts w:cs="Times New Roman"/>
        </w:rPr>
        <w:t>Cognitive skill or Education level is an important factor for later life health outcomes as it determines various health related choices an individual makes throughout life. It is also an important determinant of earnings, and employment with or without covered health insurance. Similar to many studies, I use a binary education level, College+. Many factors — such as innate IQ, family background, preschool inputs, prenatal and postnatal stressors for brain development, the childhood health status, and mother’s time input — determine the College+ variable. See, Heckman (</w:t>
      </w:r>
      <w:hyperlink w:anchor="ref-Heckman_2008">
        <w:r w:rsidRPr="004D7AFD">
          <w:rPr>
            <w:rStyle w:val="Hyperlink"/>
            <w:rFonts w:cs="Times New Roman"/>
          </w:rPr>
          <w:t>2008</w:t>
        </w:r>
      </w:hyperlink>
      <w:r w:rsidRPr="004D7AFD">
        <w:rPr>
          <w:rFonts w:cs="Times New Roman"/>
        </w:rPr>
        <w:t>) and Raut (</w:t>
      </w:r>
      <w:hyperlink w:anchor="ref-Raut_2018">
        <w:r w:rsidRPr="004D7AFD">
          <w:rPr>
            <w:rStyle w:val="Hyperlink"/>
            <w:rFonts w:cs="Times New Roman"/>
          </w:rPr>
          <w:t>2018</w:t>
        </w:r>
      </w:hyperlink>
      <w:r w:rsidRPr="004D7AFD">
        <w:rPr>
          <w:rFonts w:cs="Times New Roman"/>
        </w:rPr>
        <w:t>) for recent literature on the biology of brain development and the roles played by socioeconomic factors, and Heckman and Raut (</w:t>
      </w:r>
      <w:hyperlink w:anchor="ref-Heckman.Raut_2016">
        <w:r w:rsidRPr="004D7AFD">
          <w:rPr>
            <w:rStyle w:val="Hyperlink"/>
            <w:rFonts w:cs="Times New Roman"/>
          </w:rPr>
          <w:t>2016</w:t>
        </w:r>
      </w:hyperlink>
      <w:r w:rsidRPr="004D7AFD">
        <w:rPr>
          <w:rFonts w:cs="Times New Roman"/>
        </w:rPr>
        <w:t>) for a Logit model of College+ in which a measure of IQ, family background measured with parents’ education, preschool inputs and non-cognitive skills play important roles. HRS does not have data on many such variables. I use cSES and cHLTH, together with a few other demographic variables as regressors in the Logistic regression specifications College+ in the next subsection.</w:t>
      </w:r>
    </w:p>
    <w:p w14:paraId="73DF577A" w14:textId="77777777" w:rsidR="00697045" w:rsidRPr="004D7AFD" w:rsidRDefault="00000000">
      <w:pPr>
        <w:pStyle w:val="BodyText"/>
        <w:rPr>
          <w:rFonts w:cs="Times New Roman"/>
        </w:rPr>
      </w:pPr>
      <w:r w:rsidRPr="004D7AFD">
        <w:rPr>
          <w:rFonts w:cs="Times New Roman"/>
        </w:rPr>
        <w:t xml:space="preserve">I examine two types of middle age health outcomes: (1) initial health status, Init.HLTH, of the respondents in their early </w:t>
      </w:r>
      <w:r w:rsidRPr="004D7AFD">
        <w:rPr>
          <w:rFonts w:cs="Times New Roman"/>
          <w:i/>
          <w:iCs/>
        </w:rPr>
        <w:t>50s</w:t>
      </w:r>
      <w:r w:rsidRPr="004D7AFD">
        <w:rPr>
          <w:rFonts w:cs="Times New Roman"/>
        </w:rPr>
        <w:t xml:space="preserve"> when they first participated in the HRS study; and (2) pathways through the health states that they traversed starting from the initial health state. Both types of health outcomes are modeled as functions of childhood factors, cSES, cHLTH and College+. </w:t>
      </w:r>
    </w:p>
    <w:p w14:paraId="5A2BE1DF" w14:textId="77777777" w:rsidR="00697045" w:rsidRPr="004D7AFD" w:rsidRDefault="00000000">
      <w:pPr>
        <w:pStyle w:val="Heading2"/>
        <w:rPr>
          <w:rFonts w:cs="Times New Roman"/>
        </w:rPr>
      </w:pPr>
      <w:bookmarkStart w:id="29" w:name="sec-sec5-1"/>
      <w:r w:rsidRPr="004D7AFD">
        <w:rPr>
          <w:rFonts w:cs="Times New Roman"/>
        </w:rPr>
        <w:t>Models of childhood socioeconomic status, childhood health and initial middle age health</w:t>
      </w:r>
    </w:p>
    <w:p w14:paraId="60852045" w14:textId="77777777" w:rsidR="00697045" w:rsidRPr="004D7AFD" w:rsidRDefault="00000000">
      <w:pPr>
        <w:pStyle w:val="FirstParagraph"/>
        <w:rPr>
          <w:rFonts w:cs="Times New Roman"/>
        </w:rPr>
      </w:pPr>
      <w:r w:rsidRPr="004D7AFD">
        <w:rPr>
          <w:rFonts w:cs="Times New Roman"/>
        </w:rPr>
        <w:t>In this subsection, I estimate three sets of Logistic regression models for cHLTH, College+ and Init.HLTH. In each set, I have two specifications of Logistic regression models: in one, I include the cSES measure that I created in this paper, and in the second, I include in its place three family background variables used in Luo and Waite (</w:t>
      </w:r>
      <w:hyperlink w:anchor="ref-Luo.Waite_2005">
        <w:r w:rsidRPr="004D7AFD">
          <w:rPr>
            <w:rStyle w:val="Hyperlink"/>
            <w:rFonts w:cs="Times New Roman"/>
          </w:rPr>
          <w:t>2005</w:t>
        </w:r>
      </w:hyperlink>
      <w:r w:rsidRPr="004D7AFD">
        <w:rPr>
          <w:rFonts w:cs="Times New Roman"/>
        </w:rPr>
        <w:t xml:space="preserve">) — Father’s Education, Mother’s Education and Father’s job situation during the respondent’s childhood, controlling for other common regressors in both models, as shown in </w:t>
      </w:r>
      <w:hyperlink w:anchor="tbl-table7">
        <w:r w:rsidRPr="004D7AFD">
          <w:rPr>
            <w:rStyle w:val="Hyperlink"/>
            <w:rFonts w:cs="Times New Roman"/>
          </w:rPr>
          <w:t>Table 3</w:t>
        </w:r>
      </w:hyperlink>
      <w:r w:rsidRPr="004D7AFD">
        <w:rPr>
          <w:rFonts w:cs="Times New Roman"/>
        </w:rPr>
        <w:t xml:space="preserve">. I then examine if the coefficient estimates </w:t>
      </w:r>
      <w:r w:rsidRPr="004D7AFD">
        <w:rPr>
          <w:rFonts w:cs="Times New Roman"/>
        </w:rPr>
        <w:lastRenderedPageBreak/>
        <w:t xml:space="preserve">and their significance levels of the common covariates of the models are similar. If they are similar, then the single measure cSES of the paper is validated as a single measure of cSES. I have also calculated the pseudo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4D7AFD">
        <w:rPr>
          <w:rFonts w:cs="Times New Roman"/>
        </w:rPr>
        <w:t xml:space="preserve"> defined as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deviance</m:t>
            </m:r>
            <m:r>
              <m:rPr>
                <m:sty m:val="p"/>
              </m:rPr>
              <w:rPr>
                <w:rFonts w:ascii="Cambria Math" w:hAnsi="Cambria Math" w:cs="Times New Roman"/>
              </w:rPr>
              <m:t>/</m:t>
            </m:r>
            <m:r>
              <w:rPr>
                <w:rFonts w:ascii="Cambria Math" w:hAnsi="Cambria Math" w:cs="Times New Roman"/>
              </w:rPr>
              <m:t>nulldeviance</m:t>
            </m:r>
          </m:e>
        </m:d>
      </m:oMath>
      <w:r w:rsidRPr="004D7AFD">
        <w:rPr>
          <w:rFonts w:cs="Times New Roman"/>
        </w:rPr>
        <w:t xml:space="preserve">. It turns out to be the case that the parameter estimates of the common regressors mostly do not differ in statistical significance levels and numerical magnitudes.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4D7AFD">
        <w:rPr>
          <w:rFonts w:cs="Times New Roman"/>
        </w:rPr>
        <w:t xml:space="preserve"> for the models with the regressor cSES is slightly higher or close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4D7AFD">
        <w:rPr>
          <w:rFonts w:cs="Times New Roman"/>
        </w:rPr>
        <w:t xml:space="preserve"> of the competing models. Therefore, the measure cSES constructed in the paper is validated with respect to these three Logistic regression models and will be used as a childhood socioeconomic status variable.</w:t>
      </w:r>
    </w:p>
    <w:p w14:paraId="333AFEAB" w14:textId="77777777" w:rsidR="004D7AFD" w:rsidRDefault="004D7AFD">
      <w:pPr>
        <w:rPr>
          <w:rFonts w:cs="Times New Roman"/>
          <w:i/>
        </w:rPr>
      </w:pPr>
      <w:bookmarkStart w:id="30" w:name="tbl-table7"/>
      <w:r>
        <w:rPr>
          <w:rFonts w:cs="Times New Roman"/>
        </w:rPr>
        <w:br w:type="page"/>
      </w:r>
    </w:p>
    <w:p w14:paraId="6E33E55C" w14:textId="2233AB2F" w:rsidR="00697045" w:rsidRPr="004D7AFD" w:rsidRDefault="00000000">
      <w:pPr>
        <w:pStyle w:val="TableCaption"/>
        <w:rPr>
          <w:rFonts w:cs="Times New Roman"/>
        </w:rPr>
      </w:pPr>
      <w:r w:rsidRPr="004D7AFD">
        <w:rPr>
          <w:rFonts w:cs="Times New Roman"/>
        </w:rPr>
        <w:lastRenderedPageBreak/>
        <w:t>Table 3: Effects of childhood factors, race and sex on childhood health, college education and initial health in early 50s.</w:t>
      </w:r>
    </w:p>
    <w:tbl>
      <w:tblPr>
        <w:tblW w:w="0" w:type="auto"/>
        <w:tblLook w:val="0000" w:firstRow="0" w:lastRow="0" w:firstColumn="0" w:lastColumn="0" w:noHBand="0" w:noVBand="0"/>
        <w:tblCaption w:val="Table 3: Effects of childhood factors, race and sex on childhood health, college education and initial health in early 50s."/>
      </w:tblPr>
      <w:tblGrid>
        <w:gridCol w:w="1974"/>
        <w:gridCol w:w="899"/>
        <w:gridCol w:w="954"/>
        <w:gridCol w:w="899"/>
        <w:gridCol w:w="954"/>
        <w:gridCol w:w="1034"/>
        <w:gridCol w:w="477"/>
        <w:gridCol w:w="477"/>
      </w:tblGrid>
      <w:tr w:rsidR="00697045" w:rsidRPr="004D7AFD" w14:paraId="1BEDC742" w14:textId="77777777">
        <w:trPr>
          <w:gridAfter w:val="1"/>
        </w:trPr>
        <w:tc>
          <w:tcPr>
            <w:tcW w:w="0" w:type="auto"/>
            <w:gridSpan w:val="7"/>
          </w:tcPr>
          <w:p w14:paraId="57F2E2A5" w14:textId="77777777" w:rsidR="00697045" w:rsidRPr="004D7AFD" w:rsidRDefault="00697045">
            <w:pPr>
              <w:pStyle w:val="Compact"/>
              <w:rPr>
                <w:rFonts w:cs="Times New Roman"/>
              </w:rPr>
            </w:pPr>
          </w:p>
        </w:tc>
      </w:tr>
      <w:bookmarkEnd w:id="30"/>
      <w:tr w:rsidR="00697045" w:rsidRPr="004D7AFD" w14:paraId="51C5935A"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F75C" w14:textId="77777777" w:rsidR="00697045" w:rsidRPr="004D7AFD" w:rsidRDefault="00697045">
            <w:pPr>
              <w:pBdr>
                <w:top w:val="none" w:sz="0" w:space="0" w:color="000000"/>
                <w:left w:val="none" w:sz="0" w:space="0" w:color="000000"/>
                <w:bottom w:val="none" w:sz="0" w:space="0" w:color="000000"/>
                <w:right w:val="none" w:sz="0" w:space="0" w:color="000000"/>
              </w:pBdr>
              <w:spacing w:after="0"/>
              <w:jc w:val="center"/>
              <w:rPr>
                <w:rFonts w:cs="Times New Roman"/>
              </w:rPr>
            </w:pPr>
          </w:p>
        </w:tc>
        <w:tc>
          <w:tcPr>
            <w:tcW w:w="0" w:type="auto"/>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B49BB"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b/>
                <w:color w:val="000000"/>
                <w:sz w:val="22"/>
                <w:szCs w:val="22"/>
              </w:rPr>
              <w:t>Childhood Health</w:t>
            </w:r>
          </w:p>
        </w:tc>
        <w:tc>
          <w:tcPr>
            <w:tcW w:w="0" w:type="auto"/>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6573"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b/>
                <w:color w:val="000000"/>
                <w:sz w:val="22"/>
                <w:szCs w:val="22"/>
              </w:rPr>
              <w:t>College+</w:t>
            </w:r>
          </w:p>
        </w:tc>
        <w:tc>
          <w:tcPr>
            <w:tcW w:w="0" w:type="auto"/>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8B070"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b/>
                <w:color w:val="000000"/>
                <w:sz w:val="22"/>
                <w:szCs w:val="22"/>
              </w:rPr>
              <w:t>Init.HLTH</w:t>
            </w:r>
          </w:p>
        </w:tc>
      </w:tr>
      <w:tr w:rsidR="00697045" w:rsidRPr="004D7AFD" w14:paraId="64DAB31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3B2B54B" w14:textId="77777777" w:rsidR="00697045" w:rsidRPr="004D7AFD" w:rsidRDefault="00697045">
            <w:pPr>
              <w:pBdr>
                <w:top w:val="none" w:sz="0" w:space="0" w:color="000000"/>
                <w:left w:val="none" w:sz="0" w:space="0" w:color="000000"/>
                <w:bottom w:val="none" w:sz="0" w:space="0" w:color="000000"/>
                <w:right w:val="none" w:sz="0" w:space="0" w:color="000000"/>
              </w:pBdr>
              <w:spacing w:after="0"/>
              <w:jc w:val="center"/>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9E1D0AB"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color w:val="000000"/>
                <w:sz w:val="22"/>
                <w:szCs w:val="22"/>
              </w:rPr>
              <w:t>(1)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70F0279"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color w:val="000000"/>
                <w:sz w:val="22"/>
                <w:szCs w:val="22"/>
              </w:rPr>
              <w:t>(2)</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5DE80F8"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color w:val="000000"/>
                <w:sz w:val="22"/>
                <w:szCs w:val="22"/>
              </w:rPr>
              <w:t>(1)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4069FF5"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color w:val="000000"/>
                <w:sz w:val="22"/>
                <w:szCs w:val="22"/>
              </w:rPr>
              <w:t>(2)</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D334921"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color w:val="000000"/>
                <w:sz w:val="22"/>
                <w:szCs w:val="22"/>
              </w:rPr>
              <w:t>(1)</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38949A3"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center"/>
              <w:rPr>
                <w:rFonts w:cs="Times New Roman"/>
              </w:rPr>
            </w:pPr>
            <w:r w:rsidRPr="004D7AFD">
              <w:rPr>
                <w:rFonts w:eastAsia="Arial" w:cs="Times New Roman"/>
                <w:color w:val="000000"/>
                <w:sz w:val="22"/>
                <w:szCs w:val="22"/>
              </w:rPr>
              <w:t>(2)</w:t>
            </w:r>
          </w:p>
        </w:tc>
      </w:tr>
      <w:tr w:rsidR="00697045" w:rsidRPr="004D7AFD" w14:paraId="69D7FE8D"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15D1D3"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Intercept</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11F5C4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0.774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B23D45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-0.386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896624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0.211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C441E1E"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0.093</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C44622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-1.101 ***</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6774D2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-1.126 ***</w:t>
            </w:r>
          </w:p>
        </w:tc>
      </w:tr>
      <w:tr w:rsidR="00697045" w:rsidRPr="004D7AFD" w14:paraId="4545E143"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E4D4D3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6977F8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D0474B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EFEC1C3"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E5C268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3F47A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(0.070)</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ACFBD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(0.077)</w:t>
            </w:r>
          </w:p>
        </w:tc>
      </w:tr>
      <w:tr w:rsidR="00697045" w:rsidRPr="004D7AFD" w14:paraId="275A2133"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9AB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White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FFE8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0.131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37D6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601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0.552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80DA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0.441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3A6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0.201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96C3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0.189 **</w:t>
            </w:r>
          </w:p>
        </w:tc>
      </w:tr>
      <w:tr w:rsidR="00697045" w:rsidRPr="004D7AFD" w14:paraId="789C1F5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6E7B"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32D1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4AA7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D319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324F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3F1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(0.057)</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859D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(0.058)</w:t>
            </w:r>
          </w:p>
        </w:tc>
      </w:tr>
      <w:tr w:rsidR="00697045" w:rsidRPr="004D7AFD" w14:paraId="3232DF6F"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86B455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64EFFE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-0.087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FBB313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-0.097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B5B894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0.020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1AD7C13"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0.070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77DA93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-0.218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AD255D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-0.218 ***</w:t>
            </w:r>
          </w:p>
        </w:tc>
      </w:tr>
      <w:tr w:rsidR="00697045" w:rsidRPr="004D7AFD" w14:paraId="2B84181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4B27B1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E2A06E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D5810C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879C7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B8A981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F869F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(0.044)</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B050B0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(0.044)</w:t>
            </w:r>
          </w:p>
        </w:tc>
      </w:tr>
      <w:tr w:rsidR="00697045" w:rsidRPr="004D7AFD" w14:paraId="48F0290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C94A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childhood 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EA466"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0.725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DAEF"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CE2A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1.667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2D1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E679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0.204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6B2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r>
      <w:tr w:rsidR="00697045" w:rsidRPr="004D7AFD" w14:paraId="22C3643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1FEFA"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FA11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3117"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F1B5E"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9C117"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13DF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(0.056)</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2DF7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r>
      <w:tr w:rsidR="00697045" w:rsidRPr="004D7AFD" w14:paraId="1E9649C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CE8949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Father High School</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198E29C"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13A434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0.293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333D50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67F7BE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0.962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3C02B85"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E5283C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0.076</w:t>
            </w:r>
          </w:p>
        </w:tc>
      </w:tr>
      <w:tr w:rsidR="00697045" w:rsidRPr="004D7AFD" w14:paraId="62083CE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69A158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or some college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0382CD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61CFD4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12EAB4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66E562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1EC045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6E56E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(0.062)</w:t>
            </w:r>
          </w:p>
        </w:tc>
      </w:tr>
      <w:tr w:rsidR="00697045" w:rsidRPr="004D7AFD" w14:paraId="6ECA1E3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2CC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Father college+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C2DA"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9FDD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0.148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BD00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7D1D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1.829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9FB4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981E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0.186</w:t>
            </w:r>
          </w:p>
        </w:tc>
      </w:tr>
      <w:tr w:rsidR="00697045" w:rsidRPr="004D7AFD" w14:paraId="527D48F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EC6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7974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2C47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9303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AFC3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25E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9A07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(0.111)</w:t>
            </w:r>
          </w:p>
        </w:tc>
      </w:tr>
      <w:tr w:rsidR="00697045" w:rsidRPr="004D7AFD" w14:paraId="479464A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B645EB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Mother High School</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9203B8"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0A58C0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0.466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9F8B3E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1A0E2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1.306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39D4C8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48D9B8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0.132 *</w:t>
            </w:r>
          </w:p>
        </w:tc>
      </w:tr>
      <w:tr w:rsidR="00697045" w:rsidRPr="004D7AFD" w14:paraId="31D73F8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2E5657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or some college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572F63A"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65CE10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43231E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B1024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5B1EAD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58BDE2E"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(0.059)</w:t>
            </w:r>
          </w:p>
        </w:tc>
      </w:tr>
      <w:tr w:rsidR="00697045" w:rsidRPr="004D7AFD" w14:paraId="155B37B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46C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Mother college+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4297"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963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0.427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88A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3B8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2.083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717E"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BE05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0.143</w:t>
            </w:r>
          </w:p>
        </w:tc>
      </w:tr>
      <w:tr w:rsidR="00697045" w:rsidRPr="004D7AFD" w14:paraId="4F6760F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188E"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FED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B5BB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B23E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F7E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78D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B53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(0.127)</w:t>
            </w:r>
          </w:p>
        </w:tc>
      </w:tr>
      <w:tr w:rsidR="00697045" w:rsidRPr="004D7AFD" w14:paraId="5F0D16E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BFFB6F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Family moved due to</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C1B6718"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24EC821"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0.634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3606D9C"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559C86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0.164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06AAD68"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78B1E0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0.035</w:t>
            </w:r>
          </w:p>
        </w:tc>
      </w:tr>
      <w:tr w:rsidR="00697045" w:rsidRPr="004D7AFD" w14:paraId="5DA6844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43402D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financial difficulties</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A5CEB89"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9C4B7E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D08159"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BFEF80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F7E872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412BB4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(0.066)</w:t>
            </w:r>
          </w:p>
        </w:tc>
      </w:tr>
      <w:tr w:rsidR="00697045" w:rsidRPr="004D7AFD" w14:paraId="5D052B5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859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Father unemployed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9C31F"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F65F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0.373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859B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60A1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0.108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EA517"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6A2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0.024</w:t>
            </w:r>
          </w:p>
        </w:tc>
      </w:tr>
      <w:tr w:rsidR="00697045" w:rsidRPr="004D7AFD" w14:paraId="1ACC0923"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B916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during childhood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5E12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781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FB87"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441B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9AA8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FB47D"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(0.056)</w:t>
            </w:r>
          </w:p>
        </w:tc>
      </w:tr>
      <w:tr w:rsidR="00697045" w:rsidRPr="004D7AFD" w14:paraId="4F0FD7D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0874282"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Family got financial</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00F30F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1D584D6"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0.533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755E62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56C2B0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-0.419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BCA8B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A0DB7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0.005</w:t>
            </w:r>
          </w:p>
        </w:tc>
      </w:tr>
      <w:tr w:rsidR="00697045" w:rsidRPr="004D7AFD" w14:paraId="11CAC4E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DD93AB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help in childhood</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1AD400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E7D974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3210649"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4FB15B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F7D806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CB39E3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(0.070)</w:t>
            </w:r>
          </w:p>
        </w:tc>
      </w:tr>
      <w:tr w:rsidR="00697045" w:rsidRPr="004D7AFD" w14:paraId="33E85118"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DE7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Father's Occupation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E580"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245C6"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0.132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BBAD0"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770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0.289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53F5"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2C6F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-0.001</w:t>
            </w:r>
          </w:p>
        </w:tc>
      </w:tr>
      <w:tr w:rsidR="00697045" w:rsidRPr="004D7AFD" w14:paraId="7964D9F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BCB40"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45AC"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A8ED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74A50"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AC85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46CF2"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47AB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(0.080)</w:t>
            </w:r>
          </w:p>
        </w:tc>
      </w:tr>
      <w:tr w:rsidR="00697045" w:rsidRPr="004D7AFD" w14:paraId="51E5C58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D0A622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Childhood Health</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26507A2"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8E27690"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2EB72A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0.732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D9ADA5F"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0.634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8B8369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0.203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E13350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0.173 ***</w:t>
            </w:r>
          </w:p>
        </w:tc>
      </w:tr>
      <w:tr w:rsidR="00697045" w:rsidRPr="004D7AFD" w14:paraId="352E882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6D7952C"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7829D9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8E567C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3CB0BA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F8B78F5"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(0.038)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4AC470A"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(0.048)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02E242B"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(0.052)</w:t>
            </w:r>
          </w:p>
        </w:tc>
      </w:tr>
      <w:tr w:rsidR="00697045" w:rsidRPr="004D7AFD" w14:paraId="41639C0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9DD77"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High School 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1F8E5"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63ACA"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A29CF"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2962F"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8547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0.170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CCA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0.148 **</w:t>
            </w:r>
          </w:p>
        </w:tc>
      </w:tr>
      <w:tr w:rsidR="00697045" w:rsidRPr="004D7AFD" w14:paraId="5EC8169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47F7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some college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05C6"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934FA"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22F90"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91D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38A0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(0.055)</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1FD1C"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(0.056)</w:t>
            </w:r>
          </w:p>
        </w:tc>
      </w:tr>
      <w:tr w:rsidR="00697045" w:rsidRPr="004D7AFD" w14:paraId="277C7F6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D170BE6"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College+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830521E"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0CB2164"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BCCC0A8"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907EA3C"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FB1EDB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0.278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7F9714E"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0.237 **</w:t>
            </w:r>
          </w:p>
        </w:tc>
      </w:tr>
      <w:tr w:rsidR="00697045" w:rsidRPr="004D7AFD" w14:paraId="1CC0CCD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6E313403"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0A558DD"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24F0735"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CD42589"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1B0FC31" w14:textId="77777777" w:rsidR="00697045" w:rsidRPr="004D7AFD" w:rsidRDefault="00697045">
            <w:pPr>
              <w:pBdr>
                <w:top w:val="none" w:sz="0" w:space="0" w:color="000000"/>
                <w:left w:val="none" w:sz="0" w:space="0" w:color="000000"/>
                <w:bottom w:val="none" w:sz="0" w:space="0" w:color="000000"/>
                <w:right w:val="none" w:sz="0" w:space="0" w:color="000000"/>
              </w:pBdr>
              <w:spacing w:after="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2DC7D4B8"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(0.072)</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6638667E"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(0.075)</w:t>
            </w:r>
          </w:p>
        </w:tc>
      </w:tr>
      <w:tr w:rsidR="00697045" w:rsidRPr="004D7AFD" w14:paraId="630819C4"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F826"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N</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28B71"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24052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4C63"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24052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3FBF"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24052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92455"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24052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38F39"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9561    </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A4CFB"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9561    </w:t>
            </w:r>
          </w:p>
        </w:tc>
      </w:tr>
      <w:tr w:rsidR="00697045" w:rsidRPr="004D7AFD" w14:paraId="715D0D4C"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15336"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logLik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224BF"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-13711.11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87CF8"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-12882.41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EF7CF"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-10808.90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57F23"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-10013.18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B51BC"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-5975.83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B78FB"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-5972.50 </w:t>
            </w:r>
          </w:p>
        </w:tc>
      </w:tr>
      <w:tr w:rsidR="00697045" w:rsidRPr="004D7AFD" w14:paraId="095210B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19D40DD4"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AIC</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723432C"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27430.22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1ED4E1ED"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25786.82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67EC0D26"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21627.81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65C152A7"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20050.36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48CC76E"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11965.66 </w:t>
            </w:r>
          </w:p>
        </w:tc>
        <w:tc>
          <w:tcPr>
            <w:tcW w:w="0" w:type="auto"/>
            <w:gridSpan w:val="2"/>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67CB9CFA"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 xml:space="preserve">11973.00 </w:t>
            </w:r>
          </w:p>
        </w:tc>
      </w:tr>
      <w:tr w:rsidR="00697045" w:rsidRPr="004D7AFD" w14:paraId="2357A876" w14:textId="77777777">
        <w:tblPrEx>
          <w:jc w:val="center"/>
          <w:tblLook w:val="0420" w:firstRow="1" w:lastRow="0" w:firstColumn="0" w:lastColumn="0" w:noHBand="0" w:noVBand="1"/>
        </w:tblPrEx>
        <w:trPr>
          <w:jc w:val="center"/>
        </w:trPr>
        <w:tc>
          <w:tcPr>
            <w:tcW w:w="0" w:type="auto"/>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C590E69"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b/>
                <w:color w:val="000000"/>
                <w:sz w:val="22"/>
                <w:szCs w:val="22"/>
              </w:rPr>
              <w:t>Pseudo R-squared</w:t>
            </w:r>
          </w:p>
        </w:tc>
        <w:tc>
          <w:tcPr>
            <w:tcW w:w="0" w:type="auto"/>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8A8D43"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0.018</w:t>
            </w:r>
          </w:p>
        </w:tc>
        <w:tc>
          <w:tcPr>
            <w:tcW w:w="0" w:type="auto"/>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15A293E"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0.077</w:t>
            </w:r>
          </w:p>
        </w:tc>
        <w:tc>
          <w:tcPr>
            <w:tcW w:w="0" w:type="auto"/>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ED0A8F"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0.094</w:t>
            </w:r>
          </w:p>
        </w:tc>
        <w:tc>
          <w:tcPr>
            <w:tcW w:w="0" w:type="auto"/>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2BB0464"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0.161</w:t>
            </w:r>
          </w:p>
        </w:tc>
        <w:tc>
          <w:tcPr>
            <w:tcW w:w="0" w:type="auto"/>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A42E4A"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0.010</w:t>
            </w:r>
          </w:p>
        </w:tc>
        <w:tc>
          <w:tcPr>
            <w:tcW w:w="0" w:type="auto"/>
            <w:gridSpan w:val="2"/>
            <w:tcBorders>
              <w:top w:val="single" w:sz="6"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90D566" w14:textId="77777777" w:rsidR="00697045" w:rsidRPr="004D7AFD" w:rsidRDefault="00000000">
            <w:pPr>
              <w:pBdr>
                <w:top w:val="none" w:sz="0" w:space="0" w:color="000000"/>
                <w:left w:val="none" w:sz="0" w:space="0" w:color="000000"/>
                <w:bottom w:val="none" w:sz="0" w:space="0" w:color="000000"/>
                <w:right w:val="none" w:sz="0" w:space="0" w:color="000000"/>
              </w:pBdr>
              <w:spacing w:after="0"/>
              <w:jc w:val="right"/>
              <w:rPr>
                <w:rFonts w:cs="Times New Roman"/>
              </w:rPr>
            </w:pPr>
            <w:r w:rsidRPr="004D7AFD">
              <w:rPr>
                <w:rFonts w:eastAsia="Arial" w:cs="Times New Roman"/>
                <w:color w:val="000000"/>
                <w:sz w:val="22"/>
                <w:szCs w:val="22"/>
              </w:rPr>
              <w:t>0.011</w:t>
            </w:r>
          </w:p>
        </w:tc>
      </w:tr>
      <w:tr w:rsidR="00697045" w:rsidRPr="004D7AFD" w14:paraId="49000751" w14:textId="77777777">
        <w:tblPrEx>
          <w:jc w:val="center"/>
          <w:tblLook w:val="0420" w:firstRow="1" w:lastRow="0" w:firstColumn="0" w:lastColumn="0" w:noHBand="0" w:noVBand="1"/>
        </w:tblPrEx>
        <w:trPr>
          <w:jc w:val="center"/>
        </w:trPr>
        <w:tc>
          <w:tcPr>
            <w:tcW w:w="0" w:type="auto"/>
            <w:gridSpan w:val="8"/>
            <w:tcBorders>
              <w:top w:val="single" w:sz="8" w:space="0" w:color="000000"/>
              <w:left w:val="none" w:sz="0" w:space="0" w:color="000000"/>
              <w:bottom w:val="single" w:sz="24" w:space="0" w:color="000000"/>
              <w:right w:val="none" w:sz="0" w:space="0" w:color="000000"/>
            </w:tcBorders>
            <w:shd w:val="clear" w:color="auto" w:fill="FFFFFF"/>
            <w:tcMar>
              <w:top w:w="0" w:type="dxa"/>
              <w:left w:w="0" w:type="dxa"/>
              <w:bottom w:w="0" w:type="dxa"/>
              <w:right w:w="0" w:type="dxa"/>
            </w:tcMar>
          </w:tcPr>
          <w:p w14:paraId="74E67AC0" w14:textId="77777777" w:rsidR="00697045" w:rsidRPr="004D7AFD" w:rsidRDefault="00000000">
            <w:pPr>
              <w:pBdr>
                <w:top w:val="none" w:sz="0" w:space="0" w:color="000000"/>
                <w:left w:val="none" w:sz="0" w:space="0" w:color="000000"/>
                <w:bottom w:val="none" w:sz="0" w:space="0" w:color="000000"/>
                <w:right w:val="none" w:sz="0" w:space="0" w:color="000000"/>
              </w:pBdr>
              <w:spacing w:after="0"/>
              <w:rPr>
                <w:rFonts w:cs="Times New Roman"/>
              </w:rPr>
            </w:pPr>
            <w:r w:rsidRPr="004D7AFD">
              <w:rPr>
                <w:rFonts w:eastAsia="Arial" w:cs="Times New Roman"/>
                <w:color w:val="000000"/>
                <w:sz w:val="22"/>
                <w:szCs w:val="22"/>
              </w:rPr>
              <w:t xml:space="preserve">Notes:  *** p &lt; 0.001;  ** p &lt; 0.01;  * p &lt; 0.05. Standard errors are in parenthesis. </w:t>
            </w:r>
          </w:p>
        </w:tc>
      </w:tr>
    </w:tbl>
    <w:p w14:paraId="21259A1A" w14:textId="77777777" w:rsidR="00697045" w:rsidRPr="004D7AFD" w:rsidRDefault="00000000">
      <w:pPr>
        <w:pStyle w:val="BodyText"/>
        <w:rPr>
          <w:rFonts w:cs="Times New Roman"/>
        </w:rPr>
      </w:pPr>
      <w:r w:rsidRPr="004D7AFD">
        <w:rPr>
          <w:rFonts w:cs="Times New Roman"/>
        </w:rPr>
        <w:t xml:space="preserve">From the statistically significant parameter estimates of the variable cSES in the models with cSES as a regressor, we see that cSES has positive effect on childhood health, and on the probability of attaining College+ education and on the probability of possessing normal health state as opposed to diseased health state up to one’s early </w:t>
      </w:r>
      <w:r w:rsidRPr="004D7AFD">
        <w:rPr>
          <w:rFonts w:cs="Times New Roman"/>
          <w:i/>
          <w:iCs/>
        </w:rPr>
        <w:t>50s</w:t>
      </w:r>
      <w:r w:rsidRPr="004D7AFD">
        <w:rPr>
          <w:rFonts w:cs="Times New Roman"/>
        </w:rPr>
        <w:t>.</w:t>
      </w:r>
    </w:p>
    <w:p w14:paraId="3A958B99" w14:textId="77777777" w:rsidR="00697045" w:rsidRPr="004D7AFD" w:rsidRDefault="00000000">
      <w:pPr>
        <w:pStyle w:val="BodyText"/>
        <w:rPr>
          <w:rFonts w:cs="Times New Roman"/>
        </w:rPr>
      </w:pPr>
      <w:r w:rsidRPr="004D7AFD">
        <w:rPr>
          <w:rFonts w:cs="Times New Roman"/>
        </w:rPr>
        <w:lastRenderedPageBreak/>
        <w:t xml:space="preserve">The estimated College+ and Init.Health models show that a better childhood health leads to a higher probability of College+ education and a higher probability of being in normal health in one’s early </w:t>
      </w:r>
      <w:r w:rsidRPr="004D7AFD">
        <w:rPr>
          <w:rFonts w:cs="Times New Roman"/>
          <w:i/>
          <w:iCs/>
        </w:rPr>
        <w:t>50s</w:t>
      </w:r>
      <w:r w:rsidRPr="004D7AFD">
        <w:rPr>
          <w:rFonts w:cs="Times New Roman"/>
        </w:rPr>
        <w:t xml:space="preserve">. A College+ education also has a significant positive effect on the probability of possessing normal health in one’s early </w:t>
      </w:r>
      <w:r w:rsidRPr="004D7AFD">
        <w:rPr>
          <w:rFonts w:cs="Times New Roman"/>
          <w:i/>
          <w:iCs/>
        </w:rPr>
        <w:t>50s</w:t>
      </w:r>
      <w:r w:rsidRPr="004D7AFD">
        <w:rPr>
          <w:rFonts w:cs="Times New Roman"/>
        </w:rPr>
        <w:t>.</w:t>
      </w:r>
    </w:p>
    <w:p w14:paraId="1619303F" w14:textId="77777777" w:rsidR="00697045" w:rsidRPr="004D7AFD" w:rsidRDefault="00000000">
      <w:pPr>
        <w:pStyle w:val="BodyText"/>
        <w:rPr>
          <w:rFonts w:cs="Times New Roman"/>
        </w:rPr>
      </w:pPr>
      <w:r w:rsidRPr="004D7AFD">
        <w:rPr>
          <w:rFonts w:cs="Times New Roman"/>
        </w:rPr>
        <w:t xml:space="preserve">The estimates also show that the race variable White has positive effect on the probabilities of achieving better childhood health, attaining College+ education, and possessing normal health in one’s early </w:t>
      </w:r>
      <w:r w:rsidRPr="004D7AFD">
        <w:rPr>
          <w:rFonts w:cs="Times New Roman"/>
          <w:i/>
          <w:iCs/>
        </w:rPr>
        <w:t>50s</w:t>
      </w:r>
      <w:r w:rsidRPr="004D7AFD">
        <w:rPr>
          <w:rFonts w:cs="Times New Roman"/>
        </w:rPr>
        <w:t xml:space="preserve">. The gender variable Female has no significant effect on childhood health. But females have a lower probability of completing college and remaining in good health in their early </w:t>
      </w:r>
      <w:r w:rsidRPr="004D7AFD">
        <w:rPr>
          <w:rFonts w:cs="Times New Roman"/>
          <w:i/>
          <w:iCs/>
        </w:rPr>
        <w:t>50s</w:t>
      </w:r>
      <w:r w:rsidRPr="004D7AFD">
        <w:rPr>
          <w:rFonts w:cs="Times New Roman"/>
        </w:rPr>
        <w:t>.</w:t>
      </w:r>
    </w:p>
    <w:p w14:paraId="5F5C952F" w14:textId="77777777" w:rsidR="00697045" w:rsidRPr="004D7AFD" w:rsidRDefault="00000000">
      <w:pPr>
        <w:pStyle w:val="BodyText"/>
        <w:rPr>
          <w:rFonts w:cs="Times New Roman"/>
        </w:rPr>
      </w:pPr>
      <w:r w:rsidRPr="004D7AFD">
        <w:rPr>
          <w:rFonts w:cs="Times New Roman"/>
        </w:rPr>
        <w:t xml:space="preserve">It is possible that even after controlling for cSES, cHLTH and College+, the race and gender variables might be picking up the effects of health behaviors. I cannot control for health behaviors in the models of this subsection as the HRS data does not have data on health behaviors prior to the survey years. In the next two subsections, I will examine the effects of race and gender variables, controlling for the effects of childhood factors, biomarkers, and health behaviors on the health developments through middle ages, more specifically on probabilities of following different health trajectories starting at age </w:t>
      </w:r>
      <w:r w:rsidRPr="004D7AFD">
        <w:rPr>
          <w:rFonts w:cs="Times New Roman"/>
          <w:i/>
          <w:iCs/>
        </w:rPr>
        <w:t>51</w:t>
      </w:r>
      <w:r w:rsidRPr="004D7AFD">
        <w:rPr>
          <w:rFonts w:cs="Times New Roman"/>
        </w:rPr>
        <w:t>.</w:t>
      </w:r>
    </w:p>
    <w:p w14:paraId="7DD42408" w14:textId="77777777" w:rsidR="00697045" w:rsidRPr="004D7AFD" w:rsidRDefault="00000000">
      <w:pPr>
        <w:pStyle w:val="Heading2"/>
        <w:rPr>
          <w:rFonts w:cs="Times New Roman"/>
        </w:rPr>
      </w:pPr>
      <w:bookmarkStart w:id="31" w:name="sec-sec5-2"/>
      <w:bookmarkEnd w:id="29"/>
      <w:r w:rsidRPr="004D7AFD">
        <w:rPr>
          <w:rFonts w:cs="Times New Roman"/>
        </w:rPr>
        <w:t>Childhood factors, and middle age health pathways</w:t>
      </w:r>
    </w:p>
    <w:p w14:paraId="4E773FB1" w14:textId="77777777" w:rsidR="00697045" w:rsidRPr="004D7AFD" w:rsidRDefault="00000000">
      <w:pPr>
        <w:pStyle w:val="FirstParagraph"/>
        <w:rPr>
          <w:rFonts w:cs="Times New Roman"/>
        </w:rPr>
      </w:pPr>
      <w:r w:rsidRPr="004D7AFD">
        <w:rPr>
          <w:rFonts w:cs="Times New Roman"/>
        </w:rPr>
        <w:t xml:space="preserve">I examine the effect of childhood factors, race and sex on the probabilities of various health pathways. The parameter estimates are shown in </w:t>
      </w:r>
      <w:hyperlink w:anchor="tbl-table8">
        <w:r w:rsidRPr="004D7AFD">
          <w:rPr>
            <w:rStyle w:val="Hyperlink"/>
            <w:rFonts w:cs="Times New Roman"/>
          </w:rPr>
          <w:t>Table 4</w:t>
        </w:r>
      </w:hyperlink>
      <w:r w:rsidRPr="004D7AFD">
        <w:rPr>
          <w:rFonts w:cs="Times New Roman"/>
        </w:rPr>
        <w:t>.</w:t>
      </w:r>
    </w:p>
    <w:p w14:paraId="77636D40" w14:textId="77777777" w:rsidR="004D7AFD" w:rsidRDefault="004D7AFD">
      <w:pPr>
        <w:rPr>
          <w:rFonts w:cs="Times New Roman"/>
          <w:i/>
        </w:rPr>
      </w:pPr>
      <w:bookmarkStart w:id="32" w:name="tbl-table8"/>
      <w:r>
        <w:rPr>
          <w:rFonts w:cs="Times New Roman"/>
        </w:rPr>
        <w:br w:type="page"/>
      </w:r>
    </w:p>
    <w:p w14:paraId="4FD33BA5" w14:textId="7948C2BB" w:rsidR="00697045" w:rsidRPr="004D7AFD" w:rsidRDefault="00000000">
      <w:pPr>
        <w:pStyle w:val="TableCaption"/>
        <w:rPr>
          <w:rFonts w:cs="Times New Roman"/>
        </w:rPr>
      </w:pPr>
      <w:r w:rsidRPr="004D7AFD">
        <w:rPr>
          <w:rFonts w:cs="Times New Roman"/>
        </w:rPr>
        <w:lastRenderedPageBreak/>
        <w:t>Table 4: Unobserved heterogeneity bias corrected estimates of Cox regression models with childhood factors as regressors.</w:t>
      </w:r>
    </w:p>
    <w:tbl>
      <w:tblPr>
        <w:tblW w:w="0" w:type="auto"/>
        <w:tblLook w:val="0000" w:firstRow="0" w:lastRow="0" w:firstColumn="0" w:lastColumn="0" w:noHBand="0" w:noVBand="0"/>
        <w:tblCaption w:val="Table 4: Unobserved heterogeneity bias corrected estimates of Cox regression models with childhood factors as regressors."/>
      </w:tblPr>
      <w:tblGrid>
        <w:gridCol w:w="2363"/>
        <w:gridCol w:w="1216"/>
        <w:gridCol w:w="1156"/>
        <w:gridCol w:w="1156"/>
        <w:gridCol w:w="1156"/>
        <w:gridCol w:w="1156"/>
        <w:gridCol w:w="604"/>
        <w:gridCol w:w="553"/>
      </w:tblGrid>
      <w:tr w:rsidR="00697045" w:rsidRPr="004D7AFD" w14:paraId="33A07B13" w14:textId="77777777">
        <w:trPr>
          <w:gridAfter w:val="1"/>
        </w:trPr>
        <w:tc>
          <w:tcPr>
            <w:tcW w:w="0" w:type="auto"/>
            <w:gridSpan w:val="7"/>
          </w:tcPr>
          <w:p w14:paraId="75A41AAE" w14:textId="77777777" w:rsidR="00697045" w:rsidRPr="004D7AFD" w:rsidRDefault="00697045">
            <w:pPr>
              <w:pStyle w:val="Compact"/>
              <w:rPr>
                <w:rFonts w:cs="Times New Roman"/>
              </w:rPr>
            </w:pPr>
          </w:p>
        </w:tc>
      </w:tr>
      <w:bookmarkEnd w:id="32"/>
      <w:tr w:rsidR="00697045" w:rsidRPr="004D7AFD" w14:paraId="3765E8E9"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E9E571A"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B805A1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60BD49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EE7178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4</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27E16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A2EDD3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3</w:t>
            </w:r>
          </w:p>
        </w:tc>
        <w:tc>
          <w:tcPr>
            <w:tcW w:w="0" w:type="auto"/>
            <w:gridSpan w:val="2"/>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2E85DD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4</w:t>
            </w:r>
          </w:p>
        </w:tc>
      </w:tr>
      <w:tr w:rsidR="00697045" w:rsidRPr="004D7AFD" w14:paraId="336B4058"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BA515A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White</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73B72F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0.436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EB55CE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0.362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EB992C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-0.275</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040071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0.422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35D362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0.052</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9F2672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0.139</w:t>
            </w:r>
          </w:p>
        </w:tc>
      </w:tr>
      <w:tr w:rsidR="00697045" w:rsidRPr="004D7AFD" w14:paraId="0C85201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904444"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D97A572"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(0.040)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DB2B77E"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(0.201)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C3635A4"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(0.172)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6B49864"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(0.065)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946F691"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(0.072)</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26DE208"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(0.072)</w:t>
            </w:r>
          </w:p>
        </w:tc>
      </w:tr>
      <w:tr w:rsidR="00697045" w:rsidRPr="004D7AFD" w14:paraId="4794668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6A9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12B9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1534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E9C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-0.386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D52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-0.246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332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-0.049</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E2D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-0.543 ***</w:t>
            </w:r>
          </w:p>
        </w:tc>
      </w:tr>
      <w:tr w:rsidR="00697045" w:rsidRPr="004D7AFD" w14:paraId="67438E2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E91A1"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8AA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24B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185B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3229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2800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547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(0.067)</w:t>
            </w:r>
          </w:p>
        </w:tc>
      </w:tr>
      <w:tr w:rsidR="00697045" w:rsidRPr="004D7AFD" w14:paraId="3E3CACD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5B26DF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Childhood SES</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930EB0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-0.332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4B6418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-0.410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EFC3F1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-0.607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0D42F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DCF40B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-0.281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2F1B86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-0.499 ***</w:t>
            </w:r>
          </w:p>
        </w:tc>
      </w:tr>
      <w:tr w:rsidR="00697045" w:rsidRPr="004D7AFD" w14:paraId="3E0EC9E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8BFE1DD"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48BDBE"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(0.038)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5A3EF6C"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(0.215)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D24F46C"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(0.226)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C1CC8A"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(0.064)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ED0CD42"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(0.087)</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B5F3205"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(0.091)</w:t>
            </w:r>
          </w:p>
        </w:tc>
      </w:tr>
      <w:tr w:rsidR="00697045" w:rsidRPr="004D7AFD" w14:paraId="4AB0438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6B1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Childhood Health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1487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227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16F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-1.745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2B76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E02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1F35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-1.161 ***</w:t>
            </w:r>
          </w:p>
        </w:tc>
      </w:tr>
      <w:tr w:rsidR="00697045" w:rsidRPr="004D7AFD" w14:paraId="2482193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AF7AB"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C37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48E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AFC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67AE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5715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(0.076)</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01C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(0.068)</w:t>
            </w:r>
          </w:p>
        </w:tc>
      </w:tr>
      <w:tr w:rsidR="00697045" w:rsidRPr="004D7AFD" w14:paraId="56B87273"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E0E0D3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High School or some college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1D3C8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-0.164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8A839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-0.272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8C1F63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0.150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0F3E4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7D5CAC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-0.407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FD197C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-0.157</w:t>
            </w:r>
          </w:p>
        </w:tc>
      </w:tr>
      <w:tr w:rsidR="00697045" w:rsidRPr="004D7AFD" w14:paraId="5AA2E36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D0B98CA"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F1769E"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(0.046)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A606158"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(0.210)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E832D8F"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(0.200)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9779073"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AED933F"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(0.079)</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736C151"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(0.079)</w:t>
            </w:r>
          </w:p>
        </w:tc>
      </w:tr>
      <w:tr w:rsidR="00697045" w:rsidRPr="004D7AFD" w14:paraId="4416E57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530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College+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984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-0.249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8A8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-1.434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64A1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-0.672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5E68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47B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-1.259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0472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-0.454 ***</w:t>
            </w:r>
          </w:p>
        </w:tc>
      </w:tr>
      <w:tr w:rsidR="00697045" w:rsidRPr="004D7AFD" w14:paraId="624611C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D6D9332"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FB4A8E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0C0613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(0.343)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F5D3BE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(0.314)</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6D052C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10577A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(0.134)</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9CC6B8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(0.116)</w:t>
            </w:r>
          </w:p>
        </w:tc>
      </w:tr>
      <w:tr w:rsidR="00697045" w:rsidRPr="004D7AFD" w14:paraId="507268C8"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4E32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#obs</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BEDB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8051</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A8F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8051</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0046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8051</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FCE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17625</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F70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17625</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1512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17625</w:t>
            </w:r>
          </w:p>
        </w:tc>
      </w:tr>
      <w:tr w:rsidR="00697045" w:rsidRPr="004D7AFD" w14:paraId="3BC5E05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9B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#events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C695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3693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2798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135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C6BE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148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5856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1294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B37C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870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8919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912     </w:t>
            </w:r>
          </w:p>
        </w:tc>
      </w:tr>
      <w:tr w:rsidR="00697045" w:rsidRPr="004D7AFD" w14:paraId="7ABB4301"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13D247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θ</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1AC59B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0.4907</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BFAD10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0.4296</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00326DB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1.0329</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9A89DD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0.6568</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4BCF59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0.0004</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0265C9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0.9025</w:t>
            </w:r>
          </w:p>
        </w:tc>
      </w:tr>
      <w:tr w:rsidR="00697045" w:rsidRPr="004D7AFD" w14:paraId="16608BE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D066D0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χ²</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A90B21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363.427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C0C86B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0.508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7986E5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2.465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DCE26B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33.069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08AF56C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6.520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99FE6A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20.025 </w:t>
            </w:r>
          </w:p>
        </w:tc>
      </w:tr>
      <w:tr w:rsidR="00697045" w:rsidRPr="004D7AFD" w14:paraId="555FD4E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0E3103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χ²-pvalue</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1F170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0.000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5665C39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0.476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90E9D7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0.116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60BC2EA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0.000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E57AF7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0.011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4F425E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0.000 </w:t>
            </w:r>
          </w:p>
        </w:tc>
      </w:tr>
      <w:tr w:rsidR="00697045" w:rsidRPr="004D7AFD" w14:paraId="5F6DF193"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878949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R²</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4E92E7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0.208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0A7406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0.013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B5E6E5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0.037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0BC89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0.051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BE38CF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0.008 </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3A3011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0.068 </w:t>
            </w:r>
          </w:p>
        </w:tc>
      </w:tr>
      <w:tr w:rsidR="00697045" w:rsidRPr="004D7AFD" w14:paraId="0CD9E184" w14:textId="77777777">
        <w:tblPrEx>
          <w:jc w:val="center"/>
          <w:tblLook w:val="0420" w:firstRow="1" w:lastRow="0" w:firstColumn="0" w:lastColumn="0" w:noHBand="0" w:noVBand="1"/>
        </w:tblPrEx>
        <w:trPr>
          <w:jc w:val="center"/>
        </w:trPr>
        <w:tc>
          <w:tcPr>
            <w:tcW w:w="0" w:type="auto"/>
            <w:gridSpan w:val="8"/>
            <w:tcBorders>
              <w:top w:val="single" w:sz="16" w:space="0" w:color="000000"/>
              <w:left w:val="none" w:sz="0" w:space="0" w:color="000000"/>
              <w:bottom w:val="single" w:sz="24" w:space="0" w:color="000000"/>
              <w:right w:val="none" w:sz="0" w:space="0" w:color="000000"/>
            </w:tcBorders>
            <w:shd w:val="clear" w:color="auto" w:fill="FFFFFF"/>
            <w:tcMar>
              <w:top w:w="0" w:type="dxa"/>
              <w:left w:w="0" w:type="dxa"/>
              <w:bottom w:w="0" w:type="dxa"/>
              <w:right w:w="0" w:type="dxa"/>
            </w:tcMar>
          </w:tcPr>
          <w:p w14:paraId="17D977E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Notes:  *** p &lt; 0.001;  ** p &lt; 0.01;  * p &lt; 0.05. Standard errors are in parenthesis. The statistic χ² is to test the null hypothesis, H₀: θ =0, i.e., no unobserved heterogeneity and χ²-pvalue is its p-value. Recall that health state numbers represent 1 = normal health, 2 = diseased, 3 = disabled, 4 = death.</w:t>
            </w:r>
          </w:p>
        </w:tc>
      </w:tr>
    </w:tbl>
    <w:p w14:paraId="1DAD3D74" w14:textId="77777777" w:rsidR="00697045" w:rsidRPr="004D7AFD" w:rsidRDefault="00000000">
      <w:pPr>
        <w:pStyle w:val="BodyText"/>
        <w:rPr>
          <w:rFonts w:cs="Times New Roman"/>
        </w:rPr>
      </w:pPr>
      <w:r w:rsidRPr="004D7AFD">
        <w:rPr>
          <w:rFonts w:cs="Times New Roman"/>
        </w:rPr>
        <w:t xml:space="preserve">To understand the quantitative significance of the Cox regression parameter estimates, consider the parameter estimate of -1.745 for the variable Childhood Health and event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4</m:t>
        </m:r>
      </m:oMath>
      <w:r w:rsidRPr="004D7AFD">
        <w:rPr>
          <w:rFonts w:cs="Times New Roman"/>
        </w:rPr>
        <w:t xml:space="preserve"> in </w:t>
      </w:r>
      <w:hyperlink w:anchor="tbl-table8">
        <w:r w:rsidRPr="004D7AFD">
          <w:rPr>
            <w:rStyle w:val="Hyperlink"/>
            <w:rFonts w:cs="Times New Roman"/>
          </w:rPr>
          <w:t>Table 4</w:t>
        </w:r>
      </w:hyperlink>
      <w:r w:rsidRPr="004D7AFD">
        <w:rPr>
          <w:rFonts w:cs="Times New Roman"/>
        </w:rPr>
        <w:t xml:space="preserve">. This says that an individual of a given age in normal health status who had normal health status in childhood will have a </w:t>
      </w:r>
      <m:oMath>
        <m:r>
          <w:rPr>
            <w:rFonts w:ascii="Cambria Math" w:hAnsi="Cambria Math" w:cs="Times New Roman"/>
          </w:rPr>
          <m:t>0.175</m:t>
        </m:r>
        <m:r>
          <m:rPr>
            <m:sty m:val="p"/>
          </m:rPr>
          <w:rPr>
            <w:rFonts w:ascii="Cambria Math" w:hAnsi="Cambria Math" w:cs="Times New Roman"/>
          </w:rPr>
          <m:t>≡</m:t>
        </m:r>
        <m: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1.745</m:t>
            </m:r>
          </m:e>
        </m:d>
      </m:oMath>
      <w:r w:rsidRPr="004D7AFD">
        <w:rPr>
          <w:rFonts w:cs="Times New Roman"/>
        </w:rPr>
        <w:t xml:space="preserve"> times lower risk of death. The quantity </w:t>
      </w:r>
      <m:oMath>
        <m:r>
          <w:rPr>
            <w:rFonts w:ascii="Cambria Math" w:hAnsi="Cambria Math" w:cs="Times New Roman"/>
          </w:rPr>
          <m:t>exp</m:t>
        </m:r>
        <m:d>
          <m:dPr>
            <m:ctrlPr>
              <w:rPr>
                <w:rFonts w:ascii="Cambria Math" w:hAnsi="Cambria Math" w:cs="Times New Roman"/>
              </w:rPr>
            </m:ctrlPr>
          </m:dPr>
          <m:e>
            <m:r>
              <w:rPr>
                <w:rFonts w:ascii="Cambria Math" w:hAnsi="Cambria Math" w:cs="Times New Roman"/>
              </w:rPr>
              <m:t>β</m:t>
            </m:r>
          </m:e>
        </m:d>
      </m:oMath>
      <w:r w:rsidRPr="004D7AFD">
        <w:rPr>
          <w:rFonts w:cs="Times New Roman"/>
        </w:rPr>
        <w:t xml:space="preserve"> for a variable with coefficient </w:t>
      </w:r>
      <m:oMath>
        <m:r>
          <w:rPr>
            <w:rFonts w:ascii="Cambria Math" w:hAnsi="Cambria Math" w:cs="Times New Roman"/>
          </w:rPr>
          <m:t>β</m:t>
        </m:r>
      </m:oMath>
      <w:r w:rsidRPr="004D7AFD">
        <w:rPr>
          <w:rFonts w:cs="Times New Roman"/>
        </w:rPr>
        <w:t xml:space="preserve">, is known as the </w:t>
      </w:r>
      <w:r w:rsidRPr="004D7AFD">
        <w:rPr>
          <w:rFonts w:cs="Times New Roman"/>
          <w:i/>
          <w:iCs/>
        </w:rPr>
        <w:t>hazard ratio</w:t>
      </w:r>
      <w:r w:rsidRPr="004D7AFD">
        <w:rPr>
          <w:rFonts w:cs="Times New Roman"/>
        </w:rPr>
        <w:t xml:space="preserve"> of the variable. The effects of other parameters can be easily seen from the table.</w:t>
      </w:r>
    </w:p>
    <w:p w14:paraId="1A1B3CF8" w14:textId="77777777" w:rsidR="00697045" w:rsidRPr="004D7AFD" w:rsidRDefault="00000000">
      <w:pPr>
        <w:pStyle w:val="BodyText"/>
        <w:rPr>
          <w:rFonts w:cs="Times New Roman"/>
        </w:rPr>
      </w:pPr>
      <w:r w:rsidRPr="004D7AFD">
        <w:rPr>
          <w:rFonts w:cs="Times New Roman"/>
        </w:rPr>
        <w:t xml:space="preserve">From </w:t>
      </w:r>
      <w:hyperlink w:anchor="tbl-table8">
        <w:r w:rsidRPr="004D7AFD">
          <w:rPr>
            <w:rStyle w:val="Hyperlink"/>
            <w:rFonts w:cs="Times New Roman"/>
          </w:rPr>
          <w:t>Table 4</w:t>
        </w:r>
      </w:hyperlink>
      <w:r w:rsidRPr="004D7AFD">
        <w:rPr>
          <w:rFonts w:cs="Times New Roman"/>
        </w:rPr>
        <w:t xml:space="preserve">, the estimated hazard ratio for the College+ variable for transition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3</m:t>
        </m:r>
      </m:oMath>
      <w:r w:rsidRPr="004D7AFD">
        <w:rPr>
          <w:rFonts w:cs="Times New Roman"/>
        </w:rPr>
        <w:t xml:space="preserve"> is 0.238 </w:t>
      </w:r>
      <m:oMath>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1.434</m:t>
                </m:r>
              </m:e>
            </m:d>
          </m:e>
        </m:d>
      </m:oMath>
      <w:r w:rsidRPr="004D7AFD">
        <w:rPr>
          <w:rFonts w:cs="Times New Roman"/>
        </w:rPr>
        <w:t xml:space="preserve">, which means that the probability of a college graduate of normal health at age </w:t>
      </w:r>
      <m:oMath>
        <m:r>
          <w:rPr>
            <w:rFonts w:ascii="Cambria Math" w:hAnsi="Cambria Math" w:cs="Times New Roman"/>
          </w:rPr>
          <m:t>51</m:t>
        </m:r>
      </m:oMath>
      <w:r w:rsidRPr="004D7AFD">
        <w:rPr>
          <w:rFonts w:cs="Times New Roman"/>
        </w:rPr>
        <w:t xml:space="preserve"> becoming disabled at any age is 0.238 times the probability of a person of normal health at age </w:t>
      </w:r>
      <m:oMath>
        <m:r>
          <w:rPr>
            <w:rFonts w:ascii="Cambria Math" w:hAnsi="Cambria Math" w:cs="Times New Roman"/>
          </w:rPr>
          <m:t>51</m:t>
        </m:r>
      </m:oMath>
      <w:r w:rsidRPr="004D7AFD">
        <w:rPr>
          <w:rFonts w:cs="Times New Roman"/>
        </w:rPr>
        <w:t xml:space="preserve"> without a college degree becoming disabled at that age. In Cox proportional hazard models, the hazard ratio is time constant, i.e., this ratio is same at all ages.</w:t>
      </w:r>
    </w:p>
    <w:p w14:paraId="21FEC7EB" w14:textId="77777777" w:rsidR="00697045" w:rsidRPr="004D7AFD" w:rsidRDefault="00000000">
      <w:pPr>
        <w:pStyle w:val="BodyText"/>
        <w:rPr>
          <w:rFonts w:cs="Times New Roman"/>
        </w:rPr>
      </w:pPr>
      <w:r w:rsidRPr="004D7AFD">
        <w:rPr>
          <w:rFonts w:cs="Times New Roman"/>
        </w:rPr>
        <w:lastRenderedPageBreak/>
        <w:t xml:space="preserve">From the estimates in </w:t>
      </w:r>
      <w:hyperlink w:anchor="tbl-table8">
        <w:r w:rsidRPr="004D7AFD">
          <w:rPr>
            <w:rStyle w:val="Hyperlink"/>
            <w:rFonts w:cs="Times New Roman"/>
          </w:rPr>
          <w:t>Table 4</w:t>
        </w:r>
      </w:hyperlink>
      <w:r w:rsidRPr="004D7AFD">
        <w:rPr>
          <w:rFonts w:cs="Times New Roman"/>
        </w:rPr>
        <w:t xml:space="preserve">, it is clear that childhood health has the most significant effect for transition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4</m:t>
        </m:r>
      </m:oMath>
      <w:r w:rsidRPr="004D7AFD">
        <w:rPr>
          <w:rFonts w:cs="Times New Roman"/>
        </w:rPr>
        <w:t xml:space="preserve"> with a proportional hazard ratio of 0.17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(-1.745), i.e., the probability of dying of an individual in normal health at age </w:t>
      </w:r>
      <m:oMath>
        <m:r>
          <w:rPr>
            <w:rFonts w:ascii="Cambria Math" w:hAnsi="Cambria Math" w:cs="Times New Roman"/>
          </w:rPr>
          <m:t>51</m:t>
        </m:r>
      </m:oMath>
      <w:r w:rsidRPr="004D7AFD">
        <w:rPr>
          <w:rFonts w:cs="Times New Roman"/>
        </w:rPr>
        <w:t xml:space="preserve"> and normal childhood health is 0.17 times the probability (s)he would have had, had (s)he had bad childhood health. A better childhood health leads to a lower probability of death and a higher probability of recovering from diseased health state. A better childhood health also has a higher probability of becoming diseased, but given that a better childhood health also leads to a higher probability of recovery from diseased health state, comparing the magnitudes of the parameter estimates for transitions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4D7AFD">
        <w:rPr>
          <w:rFonts w:cs="Times New Roman"/>
        </w:rPr>
        <w:t xml:space="preserve"> and </w:t>
      </w:r>
      <m:oMath>
        <m:r>
          <w:rPr>
            <w:rFonts w:ascii="Cambria Math" w:hAnsi="Cambria Math" w:cs="Times New Roman"/>
          </w:rPr>
          <m:t>2</m:t>
        </m:r>
        <m:r>
          <m:rPr>
            <m:sty m:val="p"/>
          </m:rPr>
          <w:rPr>
            <w:rFonts w:ascii="Cambria Math" w:hAnsi="Cambria Math" w:cs="Times New Roman"/>
          </w:rPr>
          <m:t>→</m:t>
        </m:r>
        <m:r>
          <w:rPr>
            <w:rFonts w:ascii="Cambria Math" w:hAnsi="Cambria Math" w:cs="Times New Roman"/>
          </w:rPr>
          <m:t>1</m:t>
        </m:r>
      </m:oMath>
      <w:r w:rsidRPr="004D7AFD">
        <w:rPr>
          <w:rFonts w:cs="Times New Roman"/>
        </w:rPr>
        <w:t xml:space="preserve">, we see that a better childhood health leads to a lower net transition from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4D7AFD">
        <w:rPr>
          <w:rFonts w:cs="Times New Roman"/>
        </w:rPr>
        <w:t>.</w:t>
      </w:r>
    </w:p>
    <w:p w14:paraId="46484355" w14:textId="77777777" w:rsidR="00697045" w:rsidRPr="004D7AFD" w:rsidRDefault="00000000">
      <w:pPr>
        <w:pStyle w:val="BodyText"/>
        <w:rPr>
          <w:rFonts w:cs="Times New Roman"/>
        </w:rPr>
      </w:pPr>
      <w:r w:rsidRPr="004D7AFD">
        <w:rPr>
          <w:rFonts w:cs="Times New Roman"/>
        </w:rPr>
        <w:t>An individual from disadvantaged SES during childhood has a higher probability of disease incidence and a higher probability ofdeath after they become diseased.</w:t>
      </w:r>
    </w:p>
    <w:p w14:paraId="5D4C0039" w14:textId="77777777" w:rsidR="00697045" w:rsidRPr="004D7AFD" w:rsidRDefault="00000000">
      <w:pPr>
        <w:pStyle w:val="BodyText"/>
        <w:rPr>
          <w:rFonts w:cs="Times New Roman"/>
        </w:rPr>
      </w:pPr>
      <w:r w:rsidRPr="004D7AFD">
        <w:rPr>
          <w:rFonts w:cs="Times New Roman"/>
        </w:rPr>
        <w:t>As far as getting onto the disability rolls, the only variable that has a significant effect is College+.</w:t>
      </w:r>
    </w:p>
    <w:p w14:paraId="47B17D92" w14:textId="77777777" w:rsidR="00697045" w:rsidRPr="004D7AFD" w:rsidRDefault="00000000">
      <w:pPr>
        <w:pStyle w:val="BodyText"/>
        <w:rPr>
          <w:rFonts w:cs="Times New Roman"/>
        </w:rPr>
      </w:pPr>
      <w:r w:rsidRPr="004D7AFD">
        <w:rPr>
          <w:rFonts w:cs="Times New Roman"/>
        </w:rPr>
        <w:t xml:space="preserve">A white individual has a lower probability of death both from the normal health state and the diseased health state, and has a lower probability of getting onto disability rolls or recovering after being diseased. Female has a significantly lower probability of death from diseased health state with a hazard ratio of 0.58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(-0.543) and no significant effect from normal health state. Furthermore, females have a lower probability of recovering from diseased health state with a hazard ratio of 0.78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(-0.246). The favorable effects of the dummy variables white and female could be their better quality of health, measured by biomarkers of health, and healthy living styles, and not necessarily from different genetic make-ups of the groups. I examine these next in subsection </w:t>
      </w:r>
      <w:hyperlink w:anchor="sec-sec5-2">
        <w:r w:rsidRPr="004D7AFD">
          <w:rPr>
            <w:rStyle w:val="Hyperlink"/>
            <w:rFonts w:cs="Times New Roman"/>
          </w:rPr>
          <w:t>Section 5.2</w:t>
        </w:r>
      </w:hyperlink>
      <w:r w:rsidRPr="004D7AFD">
        <w:rPr>
          <w:rFonts w:cs="Times New Roman"/>
        </w:rPr>
        <w:t>.</w:t>
      </w:r>
    </w:p>
    <w:p w14:paraId="7F2B3555" w14:textId="77777777" w:rsidR="00697045" w:rsidRPr="004D7AFD" w:rsidRDefault="00000000">
      <w:pPr>
        <w:pStyle w:val="Heading2"/>
        <w:rPr>
          <w:rFonts w:cs="Times New Roman"/>
        </w:rPr>
      </w:pPr>
      <w:bookmarkStart w:id="33" w:name="sec-sec5-3"/>
      <w:bookmarkEnd w:id="31"/>
      <w:r w:rsidRPr="004D7AFD">
        <w:rPr>
          <w:rFonts w:cs="Times New Roman"/>
        </w:rPr>
        <w:t>Childhood factors, health behaviors, and middle age health pathways</w:t>
      </w:r>
    </w:p>
    <w:p w14:paraId="37AA0247" w14:textId="77777777" w:rsidR="00697045" w:rsidRPr="004D7AFD" w:rsidRDefault="00000000">
      <w:pPr>
        <w:pStyle w:val="FirstParagraph"/>
        <w:rPr>
          <w:rFonts w:cs="Times New Roman"/>
        </w:rPr>
      </w:pPr>
      <w:r w:rsidRPr="004D7AFD">
        <w:rPr>
          <w:rFonts w:cs="Times New Roman"/>
        </w:rPr>
        <w:t xml:space="preserve">For the Cox regression parameter estimates, I have used both the R package </w:t>
      </w:r>
      <w:r w:rsidRPr="004D7AFD">
        <w:rPr>
          <w:rFonts w:cs="Times New Roman"/>
          <w:i/>
          <w:iCs/>
        </w:rPr>
        <w:t>mstate</w:t>
      </w:r>
      <w:r w:rsidRPr="004D7AFD">
        <w:rPr>
          <w:rFonts w:cs="Times New Roman"/>
        </w:rPr>
        <w:t xml:space="preserve"> (see, Wreede, Fiocco, and Putter (</w:t>
      </w:r>
      <w:hyperlink w:anchor="ref-Wreede.etal_2010">
        <w:r w:rsidRPr="004D7AFD">
          <w:rPr>
            <w:rStyle w:val="Hyperlink"/>
            <w:rFonts w:cs="Times New Roman"/>
          </w:rPr>
          <w:t>2010</w:t>
        </w:r>
      </w:hyperlink>
      <w:r w:rsidRPr="004D7AFD">
        <w:rPr>
          <w:rFonts w:cs="Times New Roman"/>
        </w:rPr>
        <w:t xml:space="preserve">) for details) and also used the SAS procedure </w:t>
      </w:r>
      <w:r w:rsidRPr="004D7AFD">
        <w:rPr>
          <w:rFonts w:cs="Times New Roman"/>
          <w:i/>
          <w:iCs/>
        </w:rPr>
        <w:t>phreg</w:t>
      </w:r>
      <w:r w:rsidRPr="004D7AFD">
        <w:rPr>
          <w:rFonts w:cs="Times New Roman"/>
        </w:rPr>
        <w:t xml:space="preserve"> (both produced the same estimates) and used the </w:t>
      </w:r>
      <w:r w:rsidRPr="004D7AFD">
        <w:rPr>
          <w:rFonts w:cs="Times New Roman"/>
          <w:i/>
          <w:iCs/>
        </w:rPr>
        <w:t>mstate</w:t>
      </w:r>
      <w:r w:rsidRPr="004D7AFD">
        <w:rPr>
          <w:rFonts w:cs="Times New Roman"/>
        </w:rPr>
        <w:t xml:space="preserve"> package to estimate all the transition probabilities (SAS does not have readily available procedure for this purpose). The parameter estimates are shown in </w:t>
      </w:r>
      <w:hyperlink w:anchor="tbl-table9">
        <w:r w:rsidRPr="004D7AFD">
          <w:rPr>
            <w:rStyle w:val="Hyperlink"/>
            <w:rFonts w:cs="Times New Roman"/>
          </w:rPr>
          <w:t>Table 5</w:t>
        </w:r>
      </w:hyperlink>
      <w:r w:rsidRPr="004D7AFD">
        <w:rPr>
          <w:rFonts w:cs="Times New Roman"/>
        </w:rPr>
        <w:t>.</w:t>
      </w:r>
    </w:p>
    <w:p w14:paraId="10263623" w14:textId="77777777" w:rsidR="00697045" w:rsidRPr="004D7AFD" w:rsidRDefault="00000000">
      <w:pPr>
        <w:pStyle w:val="TableCaption"/>
        <w:rPr>
          <w:rFonts w:cs="Times New Roman"/>
        </w:rPr>
      </w:pPr>
      <w:bookmarkStart w:id="34" w:name="tbl-table9"/>
      <w:r w:rsidRPr="004D7AFD">
        <w:rPr>
          <w:rFonts w:cs="Times New Roman"/>
        </w:rPr>
        <w:lastRenderedPageBreak/>
        <w:t>Table 5: Unobserved heterogeneity bias corrected estimates of Cox regression models with childhood factors, biomarkers and health behaviors.</w:t>
      </w:r>
    </w:p>
    <w:tbl>
      <w:tblPr>
        <w:tblW w:w="0" w:type="auto"/>
        <w:tblLook w:val="0000" w:firstRow="0" w:lastRow="0" w:firstColumn="0" w:lastColumn="0" w:noHBand="0" w:noVBand="0"/>
        <w:tblCaption w:val="Table 5: Unobserved heterogeneity bias corrected estimates of Cox regression models with childhood factors, biomarkers and health behaviors."/>
      </w:tblPr>
      <w:tblGrid>
        <w:gridCol w:w="2422"/>
        <w:gridCol w:w="1207"/>
        <w:gridCol w:w="1146"/>
        <w:gridCol w:w="1146"/>
        <w:gridCol w:w="1146"/>
        <w:gridCol w:w="1146"/>
        <w:gridCol w:w="599"/>
        <w:gridCol w:w="548"/>
      </w:tblGrid>
      <w:tr w:rsidR="00697045" w:rsidRPr="004D7AFD" w14:paraId="49468F41" w14:textId="77777777">
        <w:trPr>
          <w:gridAfter w:val="1"/>
        </w:trPr>
        <w:tc>
          <w:tcPr>
            <w:tcW w:w="0" w:type="auto"/>
            <w:gridSpan w:val="7"/>
          </w:tcPr>
          <w:p w14:paraId="24F7961D" w14:textId="77777777" w:rsidR="00697045" w:rsidRPr="004D7AFD" w:rsidRDefault="00697045">
            <w:pPr>
              <w:pStyle w:val="Compact"/>
              <w:rPr>
                <w:rFonts w:cs="Times New Roman"/>
              </w:rPr>
            </w:pPr>
          </w:p>
        </w:tc>
      </w:tr>
      <w:bookmarkEnd w:id="34"/>
      <w:tr w:rsidR="00697045" w:rsidRPr="004D7AFD" w14:paraId="094BEE2A"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2F29DB6"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099149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BB733D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E4D13F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4</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E04393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3147D5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3</w:t>
            </w:r>
          </w:p>
        </w:tc>
        <w:tc>
          <w:tcPr>
            <w:tcW w:w="0" w:type="auto"/>
            <w:gridSpan w:val="2"/>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419B54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4</w:t>
            </w:r>
          </w:p>
        </w:tc>
      </w:tr>
      <w:tr w:rsidR="00697045" w:rsidRPr="004D7AFD" w14:paraId="3C025F67"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FC69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White</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E65158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0.226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6F68AF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0.438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B3F14A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-0.462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E08378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0.134</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C47802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-0.029</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E0B211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-0.007</w:t>
            </w:r>
          </w:p>
        </w:tc>
      </w:tr>
      <w:tr w:rsidR="00697045" w:rsidRPr="004D7AFD" w14:paraId="1C5EF436"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212D4A6"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774C32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56FFA7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3E7DF9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(0.248)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179D7E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5CCBA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(0.077)</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4FCABF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(0.093)</w:t>
            </w:r>
          </w:p>
        </w:tc>
      </w:tr>
      <w:tr w:rsidR="00697045" w:rsidRPr="004D7AFD" w14:paraId="0938CC5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734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B62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2A89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AC96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E3E4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70D6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987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-0.415 ***</w:t>
            </w:r>
          </w:p>
        </w:tc>
      </w:tr>
      <w:tr w:rsidR="00697045" w:rsidRPr="004D7AFD" w14:paraId="7B66C7C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6379"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FD7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F7B6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878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1D66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A11C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686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(0.086)</w:t>
            </w:r>
          </w:p>
        </w:tc>
      </w:tr>
      <w:tr w:rsidR="00697045" w:rsidRPr="004D7AFD" w14:paraId="3395D16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10A01A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Childhood SES</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7EECCC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-0.199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F327EA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-0.204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F30B0E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9FF02D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71C5D5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-0.192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636137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-0.091</w:t>
            </w:r>
          </w:p>
        </w:tc>
      </w:tr>
      <w:tr w:rsidR="00697045" w:rsidRPr="004D7AFD" w14:paraId="52B295D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58F9BCA"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158446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2455A8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(0.226)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9AF5DA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(0.274)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7A819A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6ECAA3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(0.089)</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04A6FD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(0.100)</w:t>
            </w:r>
          </w:p>
        </w:tc>
      </w:tr>
      <w:tr w:rsidR="00697045" w:rsidRPr="004D7AFD" w14:paraId="7DEAFFF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BB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Childhood Health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28DF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E0D6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446B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-0.898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93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6CF5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0.020</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E23A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-0.416 ***</w:t>
            </w:r>
          </w:p>
        </w:tc>
      </w:tr>
      <w:tr w:rsidR="00697045" w:rsidRPr="004D7AFD" w14:paraId="330ACE1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A339E"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B178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27BC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0E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7C3C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D7EE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A625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(0.088)</w:t>
            </w:r>
          </w:p>
        </w:tc>
      </w:tr>
      <w:tr w:rsidR="00697045" w:rsidRPr="004D7AFD" w14:paraId="502A0DE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91FEB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High School or some college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BE54D3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-0.118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6D0A45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0.153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3DFB5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DDF3E7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86C7F1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-0.257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554C58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0.044</w:t>
            </w:r>
          </w:p>
        </w:tc>
      </w:tr>
      <w:tr w:rsidR="00697045" w:rsidRPr="004D7AFD" w14:paraId="3A558C4C"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865271E"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B9AAAE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79C17D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(0.237)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4B99D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(0.297)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159241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3CB856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(0.085)</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1C915C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(0.109)</w:t>
            </w:r>
          </w:p>
        </w:tc>
      </w:tr>
      <w:tr w:rsidR="00697045" w:rsidRPr="004D7AFD" w14:paraId="4623659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4160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College+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CE86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C683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6299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-0.816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6877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85CA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-0.994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7BDA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-0.217</w:t>
            </w:r>
          </w:p>
        </w:tc>
      </w:tr>
      <w:tr w:rsidR="00697045" w:rsidRPr="004D7AFD" w14:paraId="036ACD6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2FD8"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E5C5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86A0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E62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56A0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F5D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(0.145)</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551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(0.157)</w:t>
            </w:r>
          </w:p>
        </w:tc>
      </w:tr>
      <w:tr w:rsidR="00697045" w:rsidRPr="004D7AFD" w14:paraId="57BF46B8"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356545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CES-D</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1EE4D5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0.531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1AFF1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1.614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B8FD6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0.129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FDF4A5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-0.484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433BC4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0.969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FCBC7D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0.568 ***</w:t>
            </w:r>
          </w:p>
        </w:tc>
      </w:tr>
      <w:tr w:rsidR="00697045" w:rsidRPr="004D7AFD" w14:paraId="48CE620C"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008EE16"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1A2BBC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B0994F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(0.334)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9A45D8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(0.521)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1A5253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7917DA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(0.117)</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38E653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(0.146)</w:t>
            </w:r>
          </w:p>
        </w:tc>
      </w:tr>
      <w:tr w:rsidR="00697045" w:rsidRPr="004D7AFD" w14:paraId="39730D5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4497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Total cognitive scores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4262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E65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2DB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98F1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409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2E75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-0.003</w:t>
            </w:r>
          </w:p>
        </w:tc>
      </w:tr>
      <w:tr w:rsidR="00697045" w:rsidRPr="004D7AFD" w14:paraId="7BEBDA9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396C1"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B1C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1CB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68A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8F5B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7A5A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AE3A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(0.010)</w:t>
            </w:r>
          </w:p>
        </w:tc>
      </w:tr>
      <w:tr w:rsidR="00697045" w:rsidRPr="004D7AFD" w14:paraId="47DDDC5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22E1F7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BMI: Under-weight</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E7AB44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-0.398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4631F0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-0.167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9A90B9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1.898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2F13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A0CC9D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7A7B52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0.830 **</w:t>
            </w:r>
          </w:p>
        </w:tc>
      </w:tr>
      <w:tr w:rsidR="00697045" w:rsidRPr="004D7AFD" w14:paraId="0141E09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55B6F91"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FD3E5B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(0.221)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F2087B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(1.016)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E03DA2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(0.549)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4D45C5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(0.321)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E63C9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(0.361)</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8AFF47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(0.290)</w:t>
            </w:r>
          </w:p>
        </w:tc>
      </w:tr>
      <w:tr w:rsidR="00697045" w:rsidRPr="004D7AFD" w14:paraId="18BC945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170D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BMI: Overweight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2071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0.187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6409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8AEC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04E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-0.307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C80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-0.199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420D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-0.189</w:t>
            </w:r>
          </w:p>
        </w:tc>
      </w:tr>
      <w:tr w:rsidR="00697045" w:rsidRPr="004D7AFD" w14:paraId="34ECB55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3F5AC"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8B1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8053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DA48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2E0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A8BF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(0.093)</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838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(0.105)</w:t>
            </w:r>
          </w:p>
        </w:tc>
      </w:tr>
      <w:tr w:rsidR="00697045" w:rsidRPr="004D7AFD" w14:paraId="153A2E0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7F6B84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BMI: Obese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F077F0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0.439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A16BF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0.237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4B89C1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9489D1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-0.768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1BF051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0.075</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8335B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-0.263 *</w:t>
            </w:r>
          </w:p>
        </w:tc>
      </w:tr>
      <w:tr w:rsidR="00697045" w:rsidRPr="004D7AFD" w14:paraId="7880050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4040CD1"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A6CA50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505297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(0.241)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21454C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(0.307)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104557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50936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(0.089)</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4338B9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(0.108)</w:t>
            </w:r>
          </w:p>
        </w:tc>
      </w:tr>
      <w:tr w:rsidR="00697045" w:rsidRPr="004D7AFD" w14:paraId="1AEB380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E25F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Behavior: Smoking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BD7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8494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0.615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35D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1.231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B405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0FFA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0.349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CC20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0.626 ***</w:t>
            </w:r>
          </w:p>
        </w:tc>
      </w:tr>
      <w:tr w:rsidR="00697045" w:rsidRPr="004D7AFD" w14:paraId="4AE5DFA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C0C2"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CA64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29B9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245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80C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6EF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(0.077)</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5CC9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(0.098)</w:t>
            </w:r>
          </w:p>
        </w:tc>
      </w:tr>
      <w:tr w:rsidR="00697045" w:rsidRPr="004D7AFD" w14:paraId="2300237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FC1984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Behavior: Exercising</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0FBC5B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0.167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5DDDDD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-0.182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B95716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-0.985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F2B670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0.333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F1BB09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-0.309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5243C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-0.904 ***</w:t>
            </w:r>
          </w:p>
        </w:tc>
      </w:tr>
      <w:tr w:rsidR="00697045" w:rsidRPr="004D7AFD" w14:paraId="078CE30F"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75D0F60"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2823C7D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FB6678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(0.206)</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3ADCF5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(0.234)</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DF8838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(0.071)</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1DB28C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(0.073)</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FB8973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(0.086)</w:t>
            </w:r>
          </w:p>
        </w:tc>
      </w:tr>
      <w:tr w:rsidR="00697045" w:rsidRPr="004D7AFD" w14:paraId="26A8BD24"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F690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#obs</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CFC5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6438</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8BA4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6438</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EB2D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6438</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0EBA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14170</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C586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14170</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3EB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14170</w:t>
            </w:r>
          </w:p>
        </w:tc>
      </w:tr>
      <w:tr w:rsidR="00697045" w:rsidRPr="004D7AFD" w14:paraId="26C67E38"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D7C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#events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FEFD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3514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134E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123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6FF9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77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8523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1228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70CA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841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E3CF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592     </w:t>
            </w:r>
          </w:p>
        </w:tc>
      </w:tr>
      <w:tr w:rsidR="00697045" w:rsidRPr="004D7AFD" w14:paraId="0861364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7E4E8C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θ</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3C240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0.3030</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E2124C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0.7767</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88D5E4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0.3857</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6267B90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0.4998</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031B0D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0.3078</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D59C82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0.2363</w:t>
            </w:r>
          </w:p>
        </w:tc>
      </w:tr>
      <w:tr w:rsidR="00697045" w:rsidRPr="004D7AFD" w14:paraId="5572758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46CD42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χ²</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E14C8F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399.720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6E6FA1C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1.434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B9DF92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0.481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066D21D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30.964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3B918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9.690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0EEA816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4.880 </w:t>
            </w:r>
          </w:p>
        </w:tc>
      </w:tr>
      <w:tr w:rsidR="00697045" w:rsidRPr="004D7AFD" w14:paraId="1EA5F6D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31294B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χ²-pvalue</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AE08C9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0.000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37F7C9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0.231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CDA811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0.488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5984FD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0.000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5F3AB85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0.002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6ABE393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0.027 </w:t>
            </w:r>
          </w:p>
        </w:tc>
      </w:tr>
      <w:tr w:rsidR="00697045" w:rsidRPr="004D7AFD" w14:paraId="1FB7591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FFBFD6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R²</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13574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0.172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AC00D7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0.028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4D0FA2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0.019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01969E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0.055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A01BF6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0.036 </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018BA7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0.029 </w:t>
            </w:r>
          </w:p>
        </w:tc>
      </w:tr>
      <w:tr w:rsidR="00697045" w:rsidRPr="004D7AFD" w14:paraId="7245AF69" w14:textId="77777777">
        <w:tblPrEx>
          <w:jc w:val="center"/>
          <w:tblLook w:val="0420" w:firstRow="1" w:lastRow="0" w:firstColumn="0" w:lastColumn="0" w:noHBand="0" w:noVBand="1"/>
        </w:tblPrEx>
        <w:trPr>
          <w:jc w:val="center"/>
        </w:trPr>
        <w:tc>
          <w:tcPr>
            <w:tcW w:w="0" w:type="auto"/>
            <w:gridSpan w:val="8"/>
            <w:tcBorders>
              <w:top w:val="single" w:sz="16" w:space="0" w:color="000000"/>
              <w:left w:val="none" w:sz="0" w:space="0" w:color="000000"/>
              <w:bottom w:val="single" w:sz="24" w:space="0" w:color="000000"/>
              <w:right w:val="none" w:sz="0" w:space="0" w:color="000000"/>
            </w:tcBorders>
            <w:shd w:val="clear" w:color="auto" w:fill="FFFFFF"/>
            <w:tcMar>
              <w:top w:w="0" w:type="dxa"/>
              <w:left w:w="0" w:type="dxa"/>
              <w:bottom w:w="0" w:type="dxa"/>
              <w:right w:w="0" w:type="dxa"/>
            </w:tcMar>
          </w:tcPr>
          <w:p w14:paraId="57E11DE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Notes:  *** p &lt; 0.001;  ** p &lt; 0.01;  * p &lt; 0.05. Standard errors are in parenthesis. The statistic χ² is to test the null hypothesis, H₀: θ =0, i.e., no unobserved heterogeneity and χ²-pvalue is its p-value. Recall that health state numbers represent 1 = normal health, 2 = diseased, 3 = disabled, 4 = death.</w:t>
            </w:r>
          </w:p>
        </w:tc>
      </w:tr>
    </w:tbl>
    <w:p w14:paraId="766756B0" w14:textId="77777777" w:rsidR="00697045" w:rsidRPr="004D7AFD" w:rsidRDefault="00000000">
      <w:pPr>
        <w:pStyle w:val="BodyText"/>
        <w:rPr>
          <w:rFonts w:cs="Times New Roman"/>
        </w:rPr>
      </w:pPr>
      <w:r w:rsidRPr="004D7AFD">
        <w:rPr>
          <w:rFonts w:cs="Times New Roman"/>
        </w:rPr>
        <w:t xml:space="preserve">First, consider the biomarkers. The variable CES-D, measuring depression and stress, has the statistically most significant coefficients in </w:t>
      </w:r>
      <w:hyperlink w:anchor="tbl-table9">
        <w:r w:rsidRPr="004D7AFD">
          <w:rPr>
            <w:rStyle w:val="Hyperlink"/>
            <w:rFonts w:cs="Times New Roman"/>
          </w:rPr>
          <w:t>Table 5</w:t>
        </w:r>
      </w:hyperlink>
      <w:r w:rsidRPr="004D7AFD">
        <w:rPr>
          <w:rFonts w:cs="Times New Roman"/>
        </w:rPr>
        <w:t xml:space="preserve">. CES-D is measured in a unit such that it varies from </w:t>
      </w:r>
      <m:oMath>
        <m:r>
          <m:rPr>
            <m:sty m:val="p"/>
          </m:rPr>
          <w:rPr>
            <w:rFonts w:ascii="Cambria Math" w:hAnsi="Cambria Math" w:cs="Times New Roman"/>
          </w:rPr>
          <m:t>-</m:t>
        </m:r>
        <m:r>
          <w:rPr>
            <w:rFonts w:ascii="Cambria Math" w:hAnsi="Cambria Math" w:cs="Times New Roman"/>
          </w:rPr>
          <m:t>0.5</m:t>
        </m:r>
      </m:oMath>
      <w:r w:rsidRPr="004D7AFD">
        <w:rPr>
          <w:rFonts w:cs="Times New Roman"/>
        </w:rPr>
        <w:t xml:space="preserve"> to </w:t>
      </w:r>
      <m:oMath>
        <m:r>
          <w:rPr>
            <w:rFonts w:ascii="Cambria Math" w:hAnsi="Cambria Math" w:cs="Times New Roman"/>
          </w:rPr>
          <m:t>0.5</m:t>
        </m:r>
      </m:oMath>
      <w:r w:rsidRPr="004D7AFD">
        <w:rPr>
          <w:rFonts w:cs="Times New Roman"/>
        </w:rPr>
        <w:t xml:space="preserve">. CES-D is associated with a higher probability of getting onto the disability rolls from both normal health state and diseased health state. For instance, a </w:t>
      </w:r>
      <m:oMath>
        <m:r>
          <w:rPr>
            <w:rFonts w:ascii="Cambria Math" w:hAnsi="Cambria Math" w:cs="Times New Roman"/>
          </w:rPr>
          <m:t>0.1</m:t>
        </m:r>
      </m:oMath>
      <w:r w:rsidRPr="004D7AFD">
        <w:rPr>
          <w:rFonts w:cs="Times New Roman"/>
        </w:rPr>
        <w:t xml:space="preserve"> unit increase in CES-D is associated with a 1.18 </w:t>
      </w:r>
      <m:oMath>
        <m:r>
          <m:rPr>
            <m:sty m:val="p"/>
          </m:rPr>
          <w:rPr>
            <w:rFonts w:ascii="Cambria Math" w:hAnsi="Cambria Math" w:cs="Times New Roman"/>
          </w:rPr>
          <m:t>≡</m:t>
        </m:r>
        <m:r>
          <w:rPr>
            <w:rFonts w:ascii="Cambria Math" w:hAnsi="Cambria Math" w:cs="Times New Roman"/>
          </w:rPr>
          <m:t>exp</m:t>
        </m:r>
      </m:oMath>
      <w:r w:rsidRPr="004D7AFD">
        <w:rPr>
          <w:rFonts w:cs="Times New Roman"/>
        </w:rPr>
        <w:t>(1.614</w:t>
      </w:r>
      <m:oMath>
        <m:r>
          <m:rPr>
            <m:sty m:val="p"/>
          </m:rPr>
          <w:rPr>
            <w:rFonts w:ascii="Cambria Math" w:hAnsi="Cambria Math" w:cs="Times New Roman"/>
          </w:rPr>
          <m:t>×</m:t>
        </m:r>
        <m:r>
          <w:rPr>
            <w:rFonts w:ascii="Cambria Math" w:hAnsi="Cambria Math" w:cs="Times New Roman"/>
          </w:rPr>
          <m:t>0.1</m:t>
        </m:r>
      </m:oMath>
      <w:r w:rsidRPr="004D7AFD">
        <w:rPr>
          <w:rFonts w:cs="Times New Roman"/>
        </w:rPr>
        <w:t xml:space="preserve">) times higher probability of getting onto disability </w:t>
      </w:r>
      <w:r w:rsidRPr="004D7AFD">
        <w:rPr>
          <w:rFonts w:cs="Times New Roman"/>
        </w:rPr>
        <w:lastRenderedPageBreak/>
        <w:t xml:space="preserve">rolls for individuals in the normal health state and a 1.1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(0.969 </w:t>
      </w:r>
      <m:oMath>
        <m:r>
          <m:rPr>
            <m:sty m:val="p"/>
          </m:rPr>
          <w:rPr>
            <w:rFonts w:ascii="Cambria Math" w:hAnsi="Cambria Math" w:cs="Times New Roman"/>
          </w:rPr>
          <m:t>×</m:t>
        </m:r>
        <m:r>
          <w:rPr>
            <w:rFonts w:ascii="Cambria Math" w:hAnsi="Cambria Math" w:cs="Times New Roman"/>
          </w:rPr>
          <m:t>0.1</m:t>
        </m:r>
      </m:oMath>
      <w:r w:rsidRPr="004D7AFD">
        <w:rPr>
          <w:rFonts w:cs="Times New Roman"/>
        </w:rPr>
        <w:t>) times higher probability of getting onto the disability rolls for individuals in the diseased health state.</w:t>
      </w:r>
    </w:p>
    <w:p w14:paraId="75758E67" w14:textId="77777777" w:rsidR="00697045" w:rsidRPr="004D7AFD" w:rsidRDefault="00000000">
      <w:pPr>
        <w:pStyle w:val="BodyText"/>
        <w:rPr>
          <w:rFonts w:cs="Times New Roman"/>
        </w:rPr>
      </w:pPr>
      <w:r w:rsidRPr="004D7AFD">
        <w:rPr>
          <w:rFonts w:cs="Times New Roman"/>
        </w:rPr>
        <w:t xml:space="preserve">For individuals in the normal health state, while CES-D does not have significant relation with the probability of death, a </w:t>
      </w:r>
      <m:oMath>
        <m:r>
          <w:rPr>
            <w:rFonts w:ascii="Cambria Math" w:hAnsi="Cambria Math" w:cs="Times New Roman"/>
          </w:rPr>
          <m:t>0.1</m:t>
        </m:r>
      </m:oMath>
      <w:r w:rsidRPr="004D7AFD">
        <w:rPr>
          <w:rFonts w:cs="Times New Roman"/>
        </w:rPr>
        <w:t xml:space="preserve"> unit increase in CES-D, however, is associated with a 1.05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(0.531 </w:t>
      </w:r>
      <m:oMath>
        <m:r>
          <m:rPr>
            <m:sty m:val="p"/>
          </m:rPr>
          <w:rPr>
            <w:rFonts w:ascii="Cambria Math" w:hAnsi="Cambria Math" w:cs="Times New Roman"/>
          </w:rPr>
          <m:t>×</m:t>
        </m:r>
        <m:r>
          <w:rPr>
            <w:rFonts w:ascii="Cambria Math" w:hAnsi="Cambria Math" w:cs="Times New Roman"/>
          </w:rPr>
          <m:t>0.1</m:t>
        </m:r>
      </m:oMath>
      <w:r w:rsidRPr="004D7AFD">
        <w:rPr>
          <w:rFonts w:cs="Times New Roman"/>
        </w:rPr>
        <w:t xml:space="preserve">) times higher probability of becoming diseased. For individuals in the diseased health state, a </w:t>
      </w:r>
      <m:oMath>
        <m:r>
          <w:rPr>
            <w:rFonts w:ascii="Cambria Math" w:hAnsi="Cambria Math" w:cs="Times New Roman"/>
          </w:rPr>
          <m:t>0.1</m:t>
        </m:r>
      </m:oMath>
      <w:r w:rsidRPr="004D7AFD">
        <w:rPr>
          <w:rFonts w:cs="Times New Roman"/>
        </w:rPr>
        <w:t xml:space="preserve"> unit increase in CES-D is seen to be associated with a 0.95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(-0.484 </w:t>
      </w:r>
      <m:oMath>
        <m:r>
          <m:rPr>
            <m:sty m:val="p"/>
          </m:rPr>
          <w:rPr>
            <w:rFonts w:ascii="Cambria Math" w:hAnsi="Cambria Math" w:cs="Times New Roman"/>
          </w:rPr>
          <m:t>×</m:t>
        </m:r>
        <m:r>
          <w:rPr>
            <w:rFonts w:ascii="Cambria Math" w:hAnsi="Cambria Math" w:cs="Times New Roman"/>
          </w:rPr>
          <m:t>0.1</m:t>
        </m:r>
      </m:oMath>
      <w:r w:rsidRPr="004D7AFD">
        <w:rPr>
          <w:rFonts w:cs="Times New Roman"/>
        </w:rPr>
        <w:t xml:space="preserve">) times lower probability of recovery to normal health, and a 1.06 </w:t>
      </w:r>
      <m:oMath>
        <m:r>
          <m:rPr>
            <m:sty m:val="p"/>
          </m:rPr>
          <w:rPr>
            <w:rFonts w:ascii="Cambria Math" w:hAnsi="Cambria Math" w:cs="Times New Roman"/>
          </w:rPr>
          <m:t>≡</m:t>
        </m:r>
        <m:r>
          <w:rPr>
            <w:rFonts w:ascii="Cambria Math" w:hAnsi="Cambria Math" w:cs="Times New Roman"/>
          </w:rPr>
          <m:t>exp</m:t>
        </m:r>
      </m:oMath>
      <w:r w:rsidRPr="004D7AFD">
        <w:rPr>
          <w:rFonts w:cs="Times New Roman"/>
        </w:rPr>
        <w:t xml:space="preserve">(0.568 </w:t>
      </w:r>
      <m:oMath>
        <m:r>
          <m:rPr>
            <m:sty m:val="p"/>
          </m:rPr>
          <w:rPr>
            <w:rFonts w:ascii="Cambria Math" w:hAnsi="Cambria Math" w:cs="Times New Roman"/>
          </w:rPr>
          <m:t>×</m:t>
        </m:r>
        <m:r>
          <w:rPr>
            <w:rFonts w:ascii="Cambria Math" w:hAnsi="Cambria Math" w:cs="Times New Roman"/>
          </w:rPr>
          <m:t>0.1</m:t>
        </m:r>
      </m:oMath>
      <w:r w:rsidRPr="004D7AFD">
        <w:rPr>
          <w:rFonts w:cs="Times New Roman"/>
        </w:rPr>
        <w:t>) times higher probability of death.</w:t>
      </w:r>
    </w:p>
    <w:p w14:paraId="39E4F7FC" w14:textId="77777777" w:rsidR="00697045" w:rsidRPr="004D7AFD" w:rsidRDefault="00000000">
      <w:pPr>
        <w:pStyle w:val="BodyText"/>
        <w:rPr>
          <w:rFonts w:cs="Times New Roman"/>
        </w:rPr>
      </w:pPr>
      <w:r w:rsidRPr="004D7AFD">
        <w:rPr>
          <w:rFonts w:cs="Times New Roman"/>
        </w:rPr>
        <w:t xml:space="preserve">The estimates in the table also show that higher cognitive total scores is associated with a lower risk of going onto the disability rolls from both the normal health state and the diseased health state—the reduction is much higher from the normal health than from the diseased health state. BMI has no significant relation with the probability of getting onto the disability rolls or the probability of death. But a higher </w:t>
      </w:r>
      <w:r w:rsidRPr="004D7AFD">
        <w:rPr>
          <w:rFonts w:cs="Times New Roman"/>
          <w:b/>
          <w:bCs/>
        </w:rPr>
        <w:t>BMI: Obese</w:t>
      </w:r>
      <w:r w:rsidRPr="004D7AFD">
        <w:rPr>
          <w:rFonts w:cs="Times New Roman"/>
        </w:rPr>
        <w:t xml:space="preserve"> is associated with a 1.55 times higher probability of becoming diseased and a 0.46 times lower probability of recovery to normal health from the diseased health state. Even though BMI does not show significant effect on the probability of getting onto the disability rolls or the probability of death for individuals in normal health, it will have indirect positive effects on the probabilities of these two events since individuals from diseased health state have higher probabilities of these two events that we saw in </w:t>
      </w:r>
      <w:hyperlink w:anchor="fig-fig2">
        <w:r w:rsidRPr="004D7AFD">
          <w:rPr>
            <w:rStyle w:val="Hyperlink"/>
            <w:rFonts w:cs="Times New Roman"/>
          </w:rPr>
          <w:t>Figure 3</w:t>
        </w:r>
      </w:hyperlink>
      <w:r w:rsidRPr="004D7AFD">
        <w:rPr>
          <w:rFonts w:cs="Times New Roman"/>
        </w:rPr>
        <w:t xml:space="preserve"> and </w:t>
      </w:r>
      <w:hyperlink w:anchor="tbl-table5">
        <w:r w:rsidRPr="004D7AFD">
          <w:rPr>
            <w:rStyle w:val="Hyperlink"/>
            <w:rFonts w:cs="Times New Roman"/>
          </w:rPr>
          <w:t>Table 2</w:t>
        </w:r>
      </w:hyperlink>
      <w:r w:rsidRPr="004D7AFD">
        <w:rPr>
          <w:rFonts w:cs="Times New Roman"/>
        </w:rPr>
        <w:t>.</w:t>
      </w:r>
    </w:p>
    <w:p w14:paraId="200A4E0C" w14:textId="77777777" w:rsidR="00697045" w:rsidRPr="004D7AFD" w:rsidRDefault="00000000">
      <w:pPr>
        <w:pStyle w:val="BodyText"/>
        <w:rPr>
          <w:rFonts w:cs="Times New Roman"/>
        </w:rPr>
      </w:pPr>
      <w:r w:rsidRPr="004D7AFD">
        <w:rPr>
          <w:rFonts w:cs="Times New Roman"/>
        </w:rPr>
        <w:t>Consider next the health behavior variables. The most important factors are smoking, showing significant adverse associations, and exercising three or more days a week regularly, showing significant favorable associations in most transitions.</w:t>
      </w:r>
    </w:p>
    <w:p w14:paraId="4660F17C" w14:textId="77777777" w:rsidR="00697045" w:rsidRPr="004D7AFD" w:rsidRDefault="00000000">
      <w:pPr>
        <w:pStyle w:val="BodyText"/>
        <w:rPr>
          <w:rFonts w:cs="Times New Roman"/>
        </w:rPr>
      </w:pPr>
      <w:r w:rsidRPr="004D7AFD">
        <w:rPr>
          <w:rFonts w:cs="Times New Roman"/>
        </w:rPr>
        <w:t xml:space="preserve">Note that the favorable coefficient estimates of the White race variable have almost wiped out when we control for health biomarkers and health behaviors. The sex variable Female has now much lower significant parameter estimates compared to the estimates in </w:t>
      </w:r>
      <w:hyperlink w:anchor="tbl-table8">
        <w:r w:rsidRPr="004D7AFD">
          <w:rPr>
            <w:rStyle w:val="Hyperlink"/>
            <w:rFonts w:cs="Times New Roman"/>
          </w:rPr>
          <w:t>Table 4</w:t>
        </w:r>
      </w:hyperlink>
      <w:r w:rsidRPr="004D7AFD">
        <w:rPr>
          <w:rFonts w:cs="Times New Roman"/>
        </w:rPr>
        <w:t>.</w:t>
      </w:r>
    </w:p>
    <w:p w14:paraId="101CF4B2" w14:textId="77777777" w:rsidR="00697045" w:rsidRPr="004D7AFD" w:rsidRDefault="00000000">
      <w:pPr>
        <w:pStyle w:val="BodyText"/>
        <w:rPr>
          <w:rFonts w:cs="Times New Roman"/>
        </w:rPr>
      </w:pPr>
      <w:r w:rsidRPr="004D7AFD">
        <w:rPr>
          <w:rFonts w:cs="Times New Roman"/>
        </w:rPr>
        <w:t xml:space="preserve">Finally consider the effects of childhood factors. While some of the significant effects of these variables from the previous table ceased to be significant, they still have significant effects on a few transitions. For instance, College+ education lowers the probability of getting onto the disability rolls from diseased health state by 0.77 folds. A better childhood health reduces </w:t>
      </w:r>
      <w:r w:rsidRPr="004D7AFD">
        <w:rPr>
          <w:rFonts w:cs="Times New Roman"/>
        </w:rPr>
        <w:lastRenderedPageBreak/>
        <w:t>probability of death by 0.41 folds for the individuals in the normal health state, by 0.66 folds for the individuals in the diseased health state and increases the probability of recovery from the diseased health state by 1.01 folds. Moving from disadvantaged Childhood SES to an advantaged Childhood SES lowers the probability of becoming diseased by 0.82 folds.</w:t>
      </w:r>
    </w:p>
    <w:p w14:paraId="41E4118D" w14:textId="77777777" w:rsidR="00697045" w:rsidRPr="004D7AFD" w:rsidRDefault="00000000">
      <w:pPr>
        <w:pStyle w:val="BodyText"/>
        <w:rPr>
          <w:rFonts w:cs="Times New Roman"/>
        </w:rPr>
      </w:pPr>
      <w:r w:rsidRPr="004D7AFD">
        <w:rPr>
          <w:rFonts w:cs="Times New Roman"/>
        </w:rPr>
        <w:t xml:space="preserve">The conducive health effects of the childhood factors will be even higher when one takes into account the indirect effects on Childhood Health, College+ and Init.HLTH (see </w:t>
      </w:r>
      <w:hyperlink w:anchor="tbl-table7">
        <w:r w:rsidRPr="004D7AFD">
          <w:rPr>
            <w:rStyle w:val="Hyperlink"/>
            <w:rFonts w:cs="Times New Roman"/>
          </w:rPr>
          <w:t>Table 3</w:t>
        </w:r>
      </w:hyperlink>
      <w:r w:rsidRPr="004D7AFD">
        <w:rPr>
          <w:rFonts w:cs="Times New Roman"/>
        </w:rPr>
        <w:t xml:space="preserve">). </w:t>
      </w:r>
    </w:p>
    <w:p w14:paraId="65823399" w14:textId="77777777" w:rsidR="00697045" w:rsidRPr="004D7AFD" w:rsidRDefault="00000000">
      <w:pPr>
        <w:pStyle w:val="BodyText"/>
        <w:rPr>
          <w:rFonts w:cs="Times New Roman"/>
        </w:rPr>
      </w:pPr>
      <w:r w:rsidRPr="004D7AFD">
        <w:rPr>
          <w:rFonts w:cs="Times New Roman"/>
        </w:rPr>
        <w:t xml:space="preserve">Most important factors in </w:t>
      </w:r>
      <w:hyperlink w:anchor="tbl-table9">
        <w:r w:rsidRPr="004D7AFD">
          <w:rPr>
            <w:rStyle w:val="Hyperlink"/>
            <w:rFonts w:cs="Times New Roman"/>
          </w:rPr>
          <w:t>Table 5</w:t>
        </w:r>
      </w:hyperlink>
      <w:r w:rsidRPr="004D7AFD">
        <w:rPr>
          <w:rFonts w:cs="Times New Roman"/>
        </w:rPr>
        <w:t xml:space="preserve"> are cesd, measuring depression and stress and college graduation or higher education, with positive effect on all transitions except for no effect on transition from normal health to death. Other important factors are smoking, with significant adverse effect on transitions, and exercising three or more times regularly has significant favorable effect on most transitions. The alcohol use has no significant detrimental effect. Instead it reduces the risk of disability and death for people with diseases.</w:t>
      </w:r>
    </w:p>
    <w:p w14:paraId="4F026B91" w14:textId="77777777" w:rsidR="00697045" w:rsidRPr="004D7AFD" w:rsidRDefault="00000000">
      <w:pPr>
        <w:pStyle w:val="BodyText"/>
        <w:rPr>
          <w:rFonts w:cs="Times New Roman"/>
        </w:rPr>
      </w:pPr>
      <w:r w:rsidRPr="004D7AFD">
        <w:rPr>
          <w:rFonts w:cs="Times New Roman"/>
        </w:rPr>
        <w:t>Is there evidence for racial reversal in mortality rates for the middle age non-college educated non-Latino white population as reported in Case and Deaton (</w:t>
      </w:r>
      <w:hyperlink w:anchor="ref-Case.Deaton_2015">
        <w:r w:rsidRPr="004D7AFD">
          <w:rPr>
            <w:rStyle w:val="Hyperlink"/>
            <w:rFonts w:cs="Times New Roman"/>
          </w:rPr>
          <w:t>2015</w:t>
        </w:r>
      </w:hyperlink>
      <w:r w:rsidRPr="004D7AFD">
        <w:rPr>
          <w:rFonts w:cs="Times New Roman"/>
        </w:rPr>
        <w:t xml:space="preserve">)? They found higher mortality rates for the non-college educated white men and women of ages 45 to 55 during 1993 to 2013 compared to the non-white peers of the same characteristics. They attributed this higher mortality to increases in their incidence rates of drug and alcohol poisoning, suicide, chronic liver diseases and cirrhosis. I also examine if disability entitlement rates for the group were also rising in the early 1990s. I calculated various transition probabilities analogous to transition probability estimates in </w:t>
      </w:r>
      <w:hyperlink w:anchor="tbl-table5">
        <w:r w:rsidRPr="004D7AFD">
          <w:rPr>
            <w:rStyle w:val="Hyperlink"/>
            <w:rFonts w:cs="Times New Roman"/>
          </w:rPr>
          <w:t>Table 2</w:t>
        </w:r>
      </w:hyperlink>
      <w:r w:rsidRPr="004D7AFD">
        <w:rPr>
          <w:rFonts w:cs="Times New Roman"/>
        </w:rPr>
        <w:t xml:space="preserve"> for these two groups. These are plotted in </w:t>
      </w:r>
      <w:hyperlink w:anchor="fig-fig10">
        <w:r w:rsidRPr="004D7AFD">
          <w:rPr>
            <w:rStyle w:val="Hyperlink"/>
            <w:rFonts w:cs="Times New Roman"/>
          </w:rPr>
          <w:t>Figure 4</w:t>
        </w:r>
      </w:hyperlink>
      <w:r w:rsidRPr="004D7AFD">
        <w:rPr>
          <w:rFonts w:cs="Times New Roman"/>
        </w:rPr>
        <w:t xml:space="preserve"> and reported in </w:t>
      </w:r>
      <w:hyperlink w:anchor="tbl-table11a">
        <w:r w:rsidRPr="004D7AFD">
          <w:rPr>
            <w:rStyle w:val="Hyperlink"/>
            <w:rFonts w:cs="Times New Roman"/>
          </w:rPr>
          <w:t>Table 7</w:t>
        </w:r>
      </w:hyperlink>
      <w:r w:rsidRPr="004D7AFD">
        <w:rPr>
          <w:rFonts w:cs="Times New Roman"/>
        </w:rPr>
        <w:t xml:space="preserve"> for selected ages. It appears that the non-college educated whites still show lower mortality and disability rates than their non-white peers of the same characteristics.</w:t>
      </w:r>
    </w:p>
    <w:p w14:paraId="2AE5849A" w14:textId="77777777" w:rsidR="00697045" w:rsidRPr="004D7AFD" w:rsidRDefault="00000000">
      <w:pPr>
        <w:pStyle w:val="BodyText"/>
        <w:rPr>
          <w:rFonts w:cs="Times New Roman"/>
        </w:rPr>
      </w:pPr>
      <w:r w:rsidRPr="004D7AFD">
        <w:rPr>
          <w:rFonts w:cs="Times New Roman"/>
        </w:rPr>
        <w:t>These estimates do not negate the Case and Deaton (</w:t>
      </w:r>
      <w:hyperlink w:anchor="ref-Case.Deaton_2015">
        <w:r w:rsidRPr="004D7AFD">
          <w:rPr>
            <w:rStyle w:val="Hyperlink"/>
            <w:rFonts w:cs="Times New Roman"/>
          </w:rPr>
          <w:t>2015</w:t>
        </w:r>
      </w:hyperlink>
      <w:r w:rsidRPr="004D7AFD">
        <w:rPr>
          <w:rFonts w:cs="Times New Roman"/>
        </w:rPr>
        <w:t>) hypothesis because the population considered here is older 50 to 60 during 1992 to 1993 and the estimates of mortality and disability rates are cumulative, following this cohort until 2006. Whereas, they estimated the mortality rates of the younger age-group 45-55 in each year from 1993 to 2013, i.e., cohorts comprising of the age group 45 - 55 were changing in each year. Estimation of the model and transition probabilities for the younger cohorts in the HRS data can shed better light on this issue.</w:t>
      </w:r>
    </w:p>
    <w:p w14:paraId="421CC324" w14:textId="77777777" w:rsidR="00697045" w:rsidRPr="004D7AFD" w:rsidRDefault="00000000">
      <w:pPr>
        <w:pStyle w:val="Heading1"/>
        <w:rPr>
          <w:rFonts w:cs="Times New Roman"/>
        </w:rPr>
      </w:pPr>
      <w:bookmarkStart w:id="35" w:name="sec-sec6"/>
      <w:bookmarkEnd w:id="28"/>
      <w:bookmarkEnd w:id="33"/>
      <w:r w:rsidRPr="004D7AFD">
        <w:rPr>
          <w:rFonts w:cs="Times New Roman"/>
        </w:rPr>
        <w:lastRenderedPageBreak/>
        <w:t>Policy implications</w:t>
      </w:r>
    </w:p>
    <w:p w14:paraId="64770295" w14:textId="77777777" w:rsidR="00697045" w:rsidRPr="004D7AFD" w:rsidRDefault="00000000">
      <w:pPr>
        <w:pStyle w:val="FirstParagraph"/>
        <w:rPr>
          <w:rFonts w:cs="Times New Roman"/>
        </w:rPr>
      </w:pPr>
      <w:r w:rsidRPr="004D7AFD">
        <w:rPr>
          <w:rFonts w:cs="Times New Roman"/>
        </w:rPr>
        <w:t xml:space="preserve">In </w:t>
      </w:r>
      <w:hyperlink w:anchor="sec-sec5-2">
        <w:r w:rsidRPr="004D7AFD">
          <w:rPr>
            <w:rStyle w:val="Hyperlink"/>
            <w:rFonts w:cs="Times New Roman"/>
          </w:rPr>
          <w:t>Section 5.2</w:t>
        </w:r>
      </w:hyperlink>
      <w:r w:rsidRPr="004D7AFD">
        <w:rPr>
          <w:rFonts w:cs="Times New Roman"/>
        </w:rPr>
        <w:t xml:space="preserve">, I have shown that childhood factors, biomarkers and health behaviors are all important determinants of pathways to diseases, disability and death. In this section, I use the estimated model under the assumption that the unobserved heterogeneity variable is common across all transitions — see </w:t>
      </w:r>
      <w:hyperlink w:anchor="tbl-table9app">
        <w:r w:rsidRPr="004D7AFD">
          <w:rPr>
            <w:rStyle w:val="Hyperlink"/>
            <w:rFonts w:cs="Times New Roman"/>
          </w:rPr>
          <w:t>Table 8</w:t>
        </w:r>
      </w:hyperlink>
      <w:r w:rsidRPr="004D7AFD">
        <w:rPr>
          <w:rFonts w:cs="Times New Roman"/>
        </w:rPr>
        <w:t xml:space="preserve"> for model specification — to compute quantitative effects of these factors on the risk of various health pathways, especially on the risk of disability in middle ages for various groups defined below.</w:t>
      </w:r>
    </w:p>
    <w:p w14:paraId="44AB0B69" w14:textId="77777777" w:rsidR="00697045" w:rsidRPr="004D7AFD" w:rsidRDefault="00000000">
      <w:pPr>
        <w:pStyle w:val="BodyText"/>
        <w:rPr>
          <w:rFonts w:cs="Times New Roman"/>
        </w:rPr>
      </w:pPr>
      <w:r w:rsidRPr="004D7AFD">
        <w:rPr>
          <w:rFonts w:cs="Times New Roman"/>
        </w:rPr>
        <w:t xml:space="preserve">Individuals with values of the childhood factors, cSES = 0, cHLTH = 0, College+ = 0 will be referred to as of type </w:t>
      </w:r>
      <w:r w:rsidRPr="004D7AFD">
        <w:rPr>
          <w:rFonts w:cs="Times New Roman"/>
          <w:i/>
          <w:iCs/>
        </w:rPr>
        <w:t>disadvantaged childhoods</w:t>
      </w:r>
      <w:r w:rsidRPr="004D7AFD">
        <w:rPr>
          <w:rFonts w:cs="Times New Roman"/>
        </w:rPr>
        <w:t xml:space="preserve">, and of type </w:t>
      </w:r>
      <w:r w:rsidRPr="004D7AFD">
        <w:rPr>
          <w:rFonts w:cs="Times New Roman"/>
          <w:i/>
          <w:iCs/>
        </w:rPr>
        <w:t>advantaged childhoods</w:t>
      </w:r>
      <w:r w:rsidRPr="004D7AFD">
        <w:rPr>
          <w:rFonts w:cs="Times New Roman"/>
        </w:rPr>
        <w:t xml:space="preserve"> if these variables take value 1; individuals with values of biomarkers cesd and cogtot at their means, and bmi = 1 (i.e., high bmi) as of type </w:t>
      </w:r>
      <w:r w:rsidRPr="004D7AFD">
        <w:rPr>
          <w:rFonts w:cs="Times New Roman"/>
          <w:i/>
          <w:iCs/>
        </w:rPr>
        <w:t>average biomarker</w:t>
      </w:r>
      <w:r w:rsidRPr="004D7AFD">
        <w:rPr>
          <w:rFonts w:cs="Times New Roman"/>
        </w:rPr>
        <w:t xml:space="preserve">, and with health behaviors — behav_prev = 0, behav_smoke = 1, behav_drink = 1, behav_vigex = 0 — as of type </w:t>
      </w:r>
      <w:r w:rsidRPr="004D7AFD">
        <w:rPr>
          <w:rFonts w:cs="Times New Roman"/>
          <w:i/>
          <w:iCs/>
        </w:rPr>
        <w:t>poor health practices</w:t>
      </w:r>
      <w:r w:rsidRPr="004D7AFD">
        <w:rPr>
          <w:rFonts w:cs="Times New Roman"/>
        </w:rPr>
        <w:t xml:space="preserve">, and as of type </w:t>
      </w:r>
      <w:r w:rsidRPr="004D7AFD">
        <w:rPr>
          <w:rFonts w:cs="Times New Roman"/>
          <w:i/>
          <w:iCs/>
        </w:rPr>
        <w:t>good health practices</w:t>
      </w:r>
      <w:r w:rsidRPr="004D7AFD">
        <w:rPr>
          <w:rFonts w:cs="Times New Roman"/>
        </w:rPr>
        <w:t xml:space="preserve"> if these variables take the opposite values.</w:t>
      </w:r>
    </w:p>
    <w:p w14:paraId="70E18997" w14:textId="77777777" w:rsidR="00697045" w:rsidRPr="004D7AFD" w:rsidRDefault="00000000">
      <w:pPr>
        <w:pStyle w:val="BodyText"/>
        <w:rPr>
          <w:rFonts w:cs="Times New Roman"/>
        </w:rPr>
      </w:pPr>
      <w:r w:rsidRPr="004D7AFD">
        <w:rPr>
          <w:rFonts w:cs="Times New Roman"/>
        </w:rPr>
        <w:t xml:space="preserve">I consider four types of individuals, all having average values of the biomarkers and currently of age </w:t>
      </w:r>
      <m:oMath>
        <m:r>
          <w:rPr>
            <w:rFonts w:ascii="Cambria Math" w:hAnsi="Cambria Math" w:cs="Times New Roman"/>
          </w:rPr>
          <m:t>51</m:t>
        </m:r>
      </m:oMath>
      <w:r w:rsidRPr="004D7AFD">
        <w:rPr>
          <w:rFonts w:cs="Times New Roman"/>
        </w:rPr>
        <w:t>:</w:t>
      </w:r>
    </w:p>
    <w:p w14:paraId="17686CE1" w14:textId="77777777" w:rsidR="00697045" w:rsidRPr="004D7AFD" w:rsidRDefault="00000000">
      <w:pPr>
        <w:numPr>
          <w:ilvl w:val="0"/>
          <w:numId w:val="17"/>
        </w:numPr>
        <w:rPr>
          <w:rFonts w:cs="Times New Roman"/>
        </w:rPr>
      </w:pPr>
      <w:r w:rsidRPr="004D7AFD">
        <w:rPr>
          <w:rFonts w:cs="Times New Roman"/>
        </w:rPr>
        <w:t>Type 1: Disadvantaged childhoods and poor health practices.</w:t>
      </w:r>
    </w:p>
    <w:p w14:paraId="1C25B381" w14:textId="77777777" w:rsidR="00697045" w:rsidRPr="004D7AFD" w:rsidRDefault="00000000">
      <w:pPr>
        <w:numPr>
          <w:ilvl w:val="0"/>
          <w:numId w:val="17"/>
        </w:numPr>
        <w:rPr>
          <w:rFonts w:cs="Times New Roman"/>
        </w:rPr>
      </w:pPr>
      <w:r w:rsidRPr="004D7AFD">
        <w:rPr>
          <w:rFonts w:cs="Times New Roman"/>
        </w:rPr>
        <w:t>Type 2: Advantaged childhoods and poor health practices.</w:t>
      </w:r>
    </w:p>
    <w:p w14:paraId="6D642571" w14:textId="77777777" w:rsidR="00697045" w:rsidRPr="004D7AFD" w:rsidRDefault="00000000">
      <w:pPr>
        <w:numPr>
          <w:ilvl w:val="0"/>
          <w:numId w:val="17"/>
        </w:numPr>
        <w:rPr>
          <w:rFonts w:cs="Times New Roman"/>
        </w:rPr>
      </w:pPr>
      <w:r w:rsidRPr="004D7AFD">
        <w:rPr>
          <w:rFonts w:cs="Times New Roman"/>
        </w:rPr>
        <w:t>Type 3: Advantaged childhoods and good health practices.</w:t>
      </w:r>
    </w:p>
    <w:p w14:paraId="35FD4821" w14:textId="77777777" w:rsidR="00697045" w:rsidRPr="004D7AFD" w:rsidRDefault="00000000">
      <w:pPr>
        <w:numPr>
          <w:ilvl w:val="0"/>
          <w:numId w:val="17"/>
        </w:numPr>
        <w:rPr>
          <w:rFonts w:cs="Times New Roman"/>
        </w:rPr>
      </w:pPr>
      <w:r w:rsidRPr="004D7AFD">
        <w:rPr>
          <w:rFonts w:cs="Times New Roman"/>
        </w:rPr>
        <w:t>Type 4: Disadvantaged childhoods and good health practices.</w:t>
      </w:r>
    </w:p>
    <w:p w14:paraId="50C4D901" w14:textId="77777777" w:rsidR="00697045" w:rsidRPr="004D7AFD" w:rsidRDefault="00000000">
      <w:pPr>
        <w:pStyle w:val="FirstParagraph"/>
        <w:rPr>
          <w:rFonts w:cs="Times New Roman"/>
        </w:rPr>
      </w:pPr>
      <w:r w:rsidRPr="004D7AFD">
        <w:rPr>
          <w:rFonts w:cs="Times New Roman"/>
        </w:rPr>
        <w:t xml:space="preserve">Consider first the white male population of the above four types. Using the parameter estimates from </w:t>
      </w:r>
      <w:hyperlink w:anchor="tbl-table9">
        <w:r w:rsidRPr="004D7AFD">
          <w:rPr>
            <w:rStyle w:val="Hyperlink"/>
            <w:rFonts w:cs="Times New Roman"/>
          </w:rPr>
          <w:t>Table 5</w:t>
        </w:r>
      </w:hyperlink>
      <w:r w:rsidRPr="004D7AFD">
        <w:rPr>
          <w:rFonts w:cs="Times New Roman"/>
        </w:rPr>
        <w:t xml:space="preserve"> of the model in </w:t>
      </w:r>
      <w:hyperlink w:anchor="eq-eq10">
        <w:r w:rsidRPr="004D7AFD">
          <w:rPr>
            <w:rStyle w:val="Hyperlink"/>
            <w:rFonts w:cs="Times New Roman"/>
          </w:rPr>
          <w:t>Equation 9</w:t>
        </w:r>
      </w:hyperlink>
      <w:r w:rsidRPr="004D7AFD">
        <w:rPr>
          <w:rFonts w:cs="Times New Roman"/>
        </w:rPr>
        <w:t xml:space="preserve">, I have computed the predicted transition probabilities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e>
        </m:d>
      </m:oMath>
      <w:r w:rsidRPr="004D7AFD">
        <w:rPr>
          <w:rFonts w:cs="Times New Roman"/>
        </w:rPr>
        <w:t xml:space="preserv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51</m:t>
        </m:r>
        <m:r>
          <m:rPr>
            <m:sty m:val="p"/>
          </m:rPr>
          <w:rPr>
            <w:rFonts w:ascii="Cambria Math" w:hAnsi="Cambria Math" w:cs="Times New Roman"/>
          </w:rPr>
          <m:t>,...,</m:t>
        </m:r>
        <m:r>
          <w:rPr>
            <w:rFonts w:ascii="Cambria Math" w:hAnsi="Cambria Math" w:cs="Times New Roman"/>
          </w:rPr>
          <m:t>65</m:t>
        </m:r>
      </m:oMath>
      <w:r w:rsidRPr="004D7AFD">
        <w:rPr>
          <w:rFonts w:cs="Times New Roman"/>
        </w:rPr>
        <w:t xml:space="preserve"> for each population of the above four types. These probabilities are plotted in </w:t>
      </w:r>
      <w:hyperlink w:anchor="fig-fig10">
        <w:r w:rsidRPr="004D7AFD">
          <w:rPr>
            <w:rStyle w:val="Hyperlink"/>
            <w:rFonts w:cs="Times New Roman"/>
          </w:rPr>
          <w:t>Figure 4</w:t>
        </w:r>
      </w:hyperlink>
      <w:r w:rsidRPr="004D7AFD">
        <w:rPr>
          <w:rFonts w:cs="Times New Roman"/>
        </w:rPr>
        <w:t xml:space="preserve"> and are shown in </w:t>
      </w:r>
      <w:hyperlink w:anchor="tbl-table10">
        <w:r w:rsidRPr="004D7AFD">
          <w:rPr>
            <w:rStyle w:val="Hyperlink"/>
            <w:rFonts w:cs="Times New Roman"/>
          </w:rPr>
          <w:t>Table 6</w:t>
        </w:r>
      </w:hyperlink>
      <w:r w:rsidRPr="004D7AFD">
        <w:rPr>
          <w:rFonts w:cs="Times New Roman"/>
        </w:rPr>
        <w:t xml:space="preserve"> for selected ages </w:t>
      </w:r>
      <m:oMath>
        <m:r>
          <w:rPr>
            <w:rFonts w:ascii="Cambria Math" w:hAnsi="Cambria Math" w:cs="Times New Roman"/>
          </w:rPr>
          <m:t>55</m:t>
        </m:r>
      </m:oMath>
      <w:r w:rsidRPr="004D7AFD">
        <w:rPr>
          <w:rFonts w:cs="Times New Roman"/>
        </w:rPr>
        <w:t xml:space="preserve">, </w:t>
      </w:r>
      <m:oMath>
        <m:r>
          <w:rPr>
            <w:rFonts w:ascii="Cambria Math" w:hAnsi="Cambria Math" w:cs="Times New Roman"/>
          </w:rPr>
          <m:t>60</m:t>
        </m:r>
      </m:oMath>
      <w:r w:rsidRPr="004D7AFD">
        <w:rPr>
          <w:rFonts w:cs="Times New Roman"/>
        </w:rPr>
        <w:t xml:space="preserve"> and </w:t>
      </w:r>
      <m:oMath>
        <m:r>
          <w:rPr>
            <w:rFonts w:ascii="Cambria Math" w:hAnsi="Cambria Math" w:cs="Times New Roman"/>
          </w:rPr>
          <m:t>65</m:t>
        </m:r>
      </m:oMath>
      <w:r w:rsidRPr="004D7AFD">
        <w:rPr>
          <w:rFonts w:cs="Times New Roman"/>
        </w:rPr>
        <w:t>.</w:t>
      </w:r>
    </w:p>
    <w:tbl>
      <w:tblPr>
        <w:tblW w:w="5000" w:type="pct"/>
        <w:tblLook w:val="0000" w:firstRow="0" w:lastRow="0" w:firstColumn="0" w:lastColumn="0" w:noHBand="0" w:noVBand="0"/>
      </w:tblPr>
      <w:tblGrid>
        <w:gridCol w:w="9360"/>
      </w:tblGrid>
      <w:tr w:rsidR="00697045" w:rsidRPr="004D7AFD" w14:paraId="13877627" w14:textId="77777777">
        <w:tc>
          <w:tcPr>
            <w:tcW w:w="0" w:type="auto"/>
          </w:tcPr>
          <w:p w14:paraId="2AC5CBFD" w14:textId="77777777" w:rsidR="00697045" w:rsidRPr="004D7AFD" w:rsidRDefault="00000000">
            <w:pPr>
              <w:jc w:val="center"/>
              <w:rPr>
                <w:rFonts w:cs="Times New Roman"/>
              </w:rPr>
            </w:pPr>
            <w:bookmarkStart w:id="36" w:name="fig-fig10"/>
            <w:r w:rsidRPr="004D7AFD">
              <w:rPr>
                <w:rFonts w:cs="Times New Roman"/>
                <w:noProof/>
              </w:rPr>
              <w:lastRenderedPageBreak/>
              <w:drawing>
                <wp:inline distT="0" distB="0" distL="0" distR="0" wp14:anchorId="0EE78D81" wp14:editId="642C3AF8">
                  <wp:extent cx="5943600" cy="288667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Figs_n_tables/Figs/FromR/Fig10-coxme.png"/>
                          <pic:cNvPicPr>
                            <a:picLocks noChangeAspect="1" noChangeArrowheads="1"/>
                          </pic:cNvPicPr>
                        </pic:nvPicPr>
                        <pic:blipFill>
                          <a:blip r:embed="rId10"/>
                          <a:stretch>
                            <a:fillRect/>
                          </a:stretch>
                        </pic:blipFill>
                        <pic:spPr bwMode="auto">
                          <a:xfrm>
                            <a:off x="0" y="0"/>
                            <a:ext cx="5943600" cy="2886670"/>
                          </a:xfrm>
                          <a:prstGeom prst="rect">
                            <a:avLst/>
                          </a:prstGeom>
                          <a:noFill/>
                          <a:ln w="9525">
                            <a:noFill/>
                            <a:headEnd/>
                            <a:tailEnd/>
                          </a:ln>
                        </pic:spPr>
                      </pic:pic>
                    </a:graphicData>
                  </a:graphic>
                </wp:inline>
              </w:drawing>
            </w:r>
          </w:p>
          <w:p w14:paraId="012F6D79" w14:textId="77777777" w:rsidR="00697045" w:rsidRPr="004D7AFD" w:rsidRDefault="00000000">
            <w:pPr>
              <w:pStyle w:val="ImageCaption"/>
              <w:spacing w:before="200"/>
              <w:rPr>
                <w:rFonts w:cs="Times New Roman"/>
              </w:rPr>
            </w:pPr>
            <w:r w:rsidRPr="004D7AFD">
              <w:rPr>
                <w:rFonts w:cs="Times New Roman"/>
              </w:rPr>
              <w:t>Figure 4: The transition probabilities of white males of four types – top panel from normal health states and bottom panel from diseased health state.</w:t>
            </w:r>
          </w:p>
        </w:tc>
        <w:bookmarkEnd w:id="36"/>
      </w:tr>
    </w:tbl>
    <w:p w14:paraId="4ECC7CAD" w14:textId="77777777" w:rsidR="00697045" w:rsidRPr="004D7AFD" w:rsidRDefault="00000000">
      <w:pPr>
        <w:pStyle w:val="BodyText"/>
        <w:rPr>
          <w:rFonts w:cs="Times New Roman"/>
        </w:rPr>
      </w:pPr>
      <w:r w:rsidRPr="004D7AFD">
        <w:rPr>
          <w:rFonts w:cs="Times New Roman"/>
        </w:rPr>
        <w:t xml:space="preserve"> </w:t>
      </w:r>
    </w:p>
    <w:p w14:paraId="15D7DB45" w14:textId="77777777" w:rsidR="00697045" w:rsidRPr="004D7AFD" w:rsidRDefault="00000000">
      <w:pPr>
        <w:pStyle w:val="TableCaption"/>
        <w:rPr>
          <w:rFonts w:cs="Times New Roman"/>
        </w:rPr>
      </w:pPr>
      <w:bookmarkStart w:id="37" w:name="tbl-table10"/>
      <w:r w:rsidRPr="004D7AFD">
        <w:rPr>
          <w:rFonts w:cs="Times New Roman"/>
        </w:rPr>
        <w:t xml:space="preserve">Table 6: Predicted transition probabilities of white males of type </w:t>
      </w:r>
      <m:oMath>
        <m:r>
          <w:rPr>
            <w:rFonts w:ascii="Cambria Math" w:hAnsi="Cambria Math" w:cs="Times New Roman"/>
          </w:rPr>
          <m:t>τ</m:t>
        </m:r>
      </m:oMath>
      <w:r w:rsidRPr="004D7AFD">
        <w:rPr>
          <w:rFonts w:cs="Times New Roman"/>
        </w:rPr>
        <w:t xml:space="preserve"> and age a, shown as Type </w:t>
      </w:r>
      <m:oMath>
        <m:r>
          <w:rPr>
            <w:rFonts w:ascii="Cambria Math" w:hAnsi="Cambria Math" w:cs="Times New Roman"/>
          </w:rPr>
          <m:t>τ</m:t>
        </m:r>
      </m:oMath>
      <w:r w:rsidRPr="004D7AFD">
        <w:rPr>
          <w:rFonts w:cs="Times New Roman"/>
        </w:rPr>
        <w:t xml:space="preserve">: a, where </w:t>
      </w:r>
      <m:oMath>
        <m:r>
          <w:rPr>
            <w:rFonts w:ascii="Cambria Math" w:hAnsi="Cambria Math" w:cs="Times New Roman"/>
          </w:rPr>
          <m:t>τ=1,2,3,4</m:t>
        </m:r>
      </m:oMath>
      <w:r w:rsidRPr="004D7AFD">
        <w:rPr>
          <w:rFonts w:cs="Times New Roman"/>
        </w:rPr>
        <w:t xml:space="preserve">, and </w:t>
      </w:r>
      <m:oMath>
        <m:r>
          <w:rPr>
            <w:rFonts w:ascii="Cambria Math" w:hAnsi="Cambria Math" w:cs="Times New Roman"/>
          </w:rPr>
          <m:t>a=55,60,65</m:t>
        </m:r>
      </m:oMath>
      <w:r w:rsidRPr="004D7AFD">
        <w:rPr>
          <w:rFonts w:cs="Times New Roman"/>
        </w:rPr>
        <w:t>.</w:t>
      </w:r>
    </w:p>
    <w:tbl>
      <w:tblPr>
        <w:tblW w:w="5000" w:type="pct"/>
        <w:tblLook w:val="0020" w:firstRow="1" w:lastRow="0" w:firstColumn="0" w:lastColumn="0" w:noHBand="0" w:noVBand="0"/>
        <w:tblCaption w:val="Table 6: Predicted transition probabilities of white males of type \tau and age a, shown as Type \tau: a, where \tau = 1, 2, 3,4, and a = 55, 60, 65."/>
      </w:tblPr>
      <w:tblGrid>
        <w:gridCol w:w="1400"/>
        <w:gridCol w:w="992"/>
        <w:gridCol w:w="998"/>
        <w:gridCol w:w="992"/>
        <w:gridCol w:w="998"/>
        <w:gridCol w:w="992"/>
        <w:gridCol w:w="998"/>
        <w:gridCol w:w="992"/>
        <w:gridCol w:w="998"/>
      </w:tblGrid>
      <w:tr w:rsidR="00697045" w:rsidRPr="004D7AFD" w14:paraId="4E2F2DFD" w14:textId="77777777">
        <w:trPr>
          <w:tblHeader/>
        </w:trPr>
        <w:tc>
          <w:tcPr>
            <w:tcW w:w="0" w:type="auto"/>
          </w:tcPr>
          <w:p w14:paraId="15039CC4" w14:textId="77777777" w:rsidR="00697045" w:rsidRPr="004D7AFD" w:rsidRDefault="00000000">
            <w:pPr>
              <w:pStyle w:val="Compact"/>
              <w:jc w:val="left"/>
              <w:rPr>
                <w:rFonts w:cs="Times New Roman"/>
              </w:rPr>
            </w:pPr>
            <w:r w:rsidRPr="004D7AFD">
              <w:rPr>
                <w:rFonts w:cs="Times New Roman"/>
              </w:rPr>
              <w:t>Type: a</w:t>
            </w:r>
          </w:p>
        </w:tc>
        <w:tc>
          <w:tcPr>
            <w:tcW w:w="0" w:type="auto"/>
          </w:tcPr>
          <w:p w14:paraId="46A1D59B"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11</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498C834F"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22</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2E964C09"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12</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56EFC30B"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21</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471A6BAA"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13</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5BA13D76"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23</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53BFB680"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14</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7CC93625" w14:textId="77777777" w:rsidR="00697045" w:rsidRPr="004D7AFD" w:rsidRDefault="00000000">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24</m:t>
                    </m:r>
                  </m:sub>
                </m:sSub>
                <m:d>
                  <m:dPr>
                    <m:ctrlPr>
                      <w:rPr>
                        <w:rFonts w:ascii="Cambria Math" w:hAnsi="Cambria Math" w:cs="Times New Roman"/>
                      </w:rPr>
                    </m:ctrlPr>
                  </m:dPr>
                  <m:e>
                    <m:r>
                      <w:rPr>
                        <w:rFonts w:ascii="Cambria Math" w:hAnsi="Cambria Math" w:cs="Times New Roman"/>
                      </w:rPr>
                      <m:t>a</m:t>
                    </m:r>
                  </m:e>
                </m:d>
              </m:oMath>
            </m:oMathPara>
          </w:p>
        </w:tc>
      </w:tr>
      <w:tr w:rsidR="00697045" w:rsidRPr="004D7AFD" w14:paraId="4DE55EE8" w14:textId="77777777">
        <w:tc>
          <w:tcPr>
            <w:tcW w:w="0" w:type="auto"/>
          </w:tcPr>
          <w:p w14:paraId="03042931" w14:textId="77777777" w:rsidR="00697045" w:rsidRPr="004D7AFD" w:rsidRDefault="00000000">
            <w:pPr>
              <w:pStyle w:val="Compact"/>
              <w:jc w:val="left"/>
              <w:rPr>
                <w:rFonts w:cs="Times New Roman"/>
              </w:rPr>
            </w:pPr>
            <w:r w:rsidRPr="004D7AFD">
              <w:rPr>
                <w:rFonts w:cs="Times New Roman"/>
              </w:rPr>
              <w:t>Type 1: 55</w:t>
            </w:r>
          </w:p>
        </w:tc>
        <w:tc>
          <w:tcPr>
            <w:tcW w:w="0" w:type="auto"/>
          </w:tcPr>
          <w:p w14:paraId="51ACEDF4" w14:textId="77777777" w:rsidR="00697045" w:rsidRPr="004D7AFD" w:rsidRDefault="00000000">
            <w:pPr>
              <w:pStyle w:val="Compact"/>
              <w:jc w:val="right"/>
              <w:rPr>
                <w:rFonts w:cs="Times New Roman"/>
              </w:rPr>
            </w:pPr>
            <w:r w:rsidRPr="004D7AFD">
              <w:rPr>
                <w:rFonts w:cs="Times New Roman"/>
              </w:rPr>
              <w:t>0.713</w:t>
            </w:r>
          </w:p>
        </w:tc>
        <w:tc>
          <w:tcPr>
            <w:tcW w:w="0" w:type="auto"/>
          </w:tcPr>
          <w:p w14:paraId="72318979" w14:textId="77777777" w:rsidR="00697045" w:rsidRPr="004D7AFD" w:rsidRDefault="00000000">
            <w:pPr>
              <w:pStyle w:val="Compact"/>
              <w:jc w:val="right"/>
              <w:rPr>
                <w:rFonts w:cs="Times New Roman"/>
              </w:rPr>
            </w:pPr>
            <w:r w:rsidRPr="004D7AFD">
              <w:rPr>
                <w:rFonts w:cs="Times New Roman"/>
              </w:rPr>
              <w:t>0.924</w:t>
            </w:r>
          </w:p>
        </w:tc>
        <w:tc>
          <w:tcPr>
            <w:tcW w:w="0" w:type="auto"/>
          </w:tcPr>
          <w:p w14:paraId="7173E402" w14:textId="77777777" w:rsidR="00697045" w:rsidRPr="004D7AFD" w:rsidRDefault="00000000">
            <w:pPr>
              <w:pStyle w:val="Compact"/>
              <w:jc w:val="right"/>
              <w:rPr>
                <w:rFonts w:cs="Times New Roman"/>
              </w:rPr>
            </w:pPr>
            <w:r w:rsidRPr="004D7AFD">
              <w:rPr>
                <w:rFonts w:cs="Times New Roman"/>
              </w:rPr>
              <w:t>0.250</w:t>
            </w:r>
          </w:p>
        </w:tc>
        <w:tc>
          <w:tcPr>
            <w:tcW w:w="0" w:type="auto"/>
          </w:tcPr>
          <w:p w14:paraId="05FF2714" w14:textId="77777777" w:rsidR="00697045" w:rsidRPr="004D7AFD" w:rsidRDefault="00000000">
            <w:pPr>
              <w:pStyle w:val="Compact"/>
              <w:jc w:val="right"/>
              <w:rPr>
                <w:rFonts w:cs="Times New Roman"/>
              </w:rPr>
            </w:pPr>
            <w:r w:rsidRPr="004D7AFD">
              <w:rPr>
                <w:rFonts w:cs="Times New Roman"/>
              </w:rPr>
              <w:t>0.024</w:t>
            </w:r>
          </w:p>
        </w:tc>
        <w:tc>
          <w:tcPr>
            <w:tcW w:w="0" w:type="auto"/>
          </w:tcPr>
          <w:p w14:paraId="288AD19B" w14:textId="77777777" w:rsidR="00697045" w:rsidRPr="004D7AFD" w:rsidRDefault="00000000">
            <w:pPr>
              <w:pStyle w:val="Compact"/>
              <w:jc w:val="right"/>
              <w:rPr>
                <w:rFonts w:cs="Times New Roman"/>
              </w:rPr>
            </w:pPr>
            <w:r w:rsidRPr="004D7AFD">
              <w:rPr>
                <w:rFonts w:cs="Times New Roman"/>
              </w:rPr>
              <w:t>0.021</w:t>
            </w:r>
          </w:p>
        </w:tc>
        <w:tc>
          <w:tcPr>
            <w:tcW w:w="0" w:type="auto"/>
          </w:tcPr>
          <w:p w14:paraId="7097E8A5" w14:textId="77777777" w:rsidR="00697045" w:rsidRPr="004D7AFD" w:rsidRDefault="00000000">
            <w:pPr>
              <w:pStyle w:val="Compact"/>
              <w:jc w:val="right"/>
              <w:rPr>
                <w:rFonts w:cs="Times New Roman"/>
              </w:rPr>
            </w:pPr>
            <w:r w:rsidRPr="004D7AFD">
              <w:rPr>
                <w:rFonts w:cs="Times New Roman"/>
              </w:rPr>
              <w:t>0.021</w:t>
            </w:r>
          </w:p>
        </w:tc>
        <w:tc>
          <w:tcPr>
            <w:tcW w:w="0" w:type="auto"/>
          </w:tcPr>
          <w:p w14:paraId="0EC4EAC5" w14:textId="77777777" w:rsidR="00697045" w:rsidRPr="004D7AFD" w:rsidRDefault="00000000">
            <w:pPr>
              <w:pStyle w:val="Compact"/>
              <w:jc w:val="right"/>
              <w:rPr>
                <w:rFonts w:cs="Times New Roman"/>
              </w:rPr>
            </w:pPr>
            <w:r w:rsidRPr="004D7AFD">
              <w:rPr>
                <w:rFonts w:cs="Times New Roman"/>
              </w:rPr>
              <w:t>0.016</w:t>
            </w:r>
          </w:p>
        </w:tc>
        <w:tc>
          <w:tcPr>
            <w:tcW w:w="0" w:type="auto"/>
          </w:tcPr>
          <w:p w14:paraId="336F3F8A" w14:textId="77777777" w:rsidR="00697045" w:rsidRPr="004D7AFD" w:rsidRDefault="00000000">
            <w:pPr>
              <w:pStyle w:val="Compact"/>
              <w:jc w:val="right"/>
              <w:rPr>
                <w:rFonts w:cs="Times New Roman"/>
              </w:rPr>
            </w:pPr>
            <w:r w:rsidRPr="004D7AFD">
              <w:rPr>
                <w:rFonts w:cs="Times New Roman"/>
              </w:rPr>
              <w:t>0.031</w:t>
            </w:r>
          </w:p>
        </w:tc>
      </w:tr>
      <w:tr w:rsidR="00697045" w:rsidRPr="004D7AFD" w14:paraId="6FD38BFA" w14:textId="77777777">
        <w:tc>
          <w:tcPr>
            <w:tcW w:w="0" w:type="auto"/>
          </w:tcPr>
          <w:p w14:paraId="7376D8F3" w14:textId="77777777" w:rsidR="00697045" w:rsidRPr="004D7AFD" w:rsidRDefault="00000000">
            <w:pPr>
              <w:pStyle w:val="Compact"/>
              <w:jc w:val="left"/>
              <w:rPr>
                <w:rFonts w:cs="Times New Roman"/>
              </w:rPr>
            </w:pPr>
            <w:r w:rsidRPr="004D7AFD">
              <w:rPr>
                <w:rFonts w:cs="Times New Roman"/>
              </w:rPr>
              <w:t>Type 2: 55</w:t>
            </w:r>
          </w:p>
        </w:tc>
        <w:tc>
          <w:tcPr>
            <w:tcW w:w="0" w:type="auto"/>
          </w:tcPr>
          <w:p w14:paraId="316DC6FB" w14:textId="77777777" w:rsidR="00697045" w:rsidRPr="004D7AFD" w:rsidRDefault="00000000">
            <w:pPr>
              <w:pStyle w:val="Compact"/>
              <w:jc w:val="right"/>
              <w:rPr>
                <w:rFonts w:cs="Times New Roman"/>
              </w:rPr>
            </w:pPr>
            <w:r w:rsidRPr="004D7AFD">
              <w:rPr>
                <w:rFonts w:cs="Times New Roman"/>
              </w:rPr>
              <w:t>0.811</w:t>
            </w:r>
          </w:p>
        </w:tc>
        <w:tc>
          <w:tcPr>
            <w:tcW w:w="0" w:type="auto"/>
          </w:tcPr>
          <w:p w14:paraId="5B7769D1" w14:textId="77777777" w:rsidR="00697045" w:rsidRPr="004D7AFD" w:rsidRDefault="00000000">
            <w:pPr>
              <w:pStyle w:val="Compact"/>
              <w:jc w:val="right"/>
              <w:rPr>
                <w:rFonts w:cs="Times New Roman"/>
              </w:rPr>
            </w:pPr>
            <w:r w:rsidRPr="004D7AFD">
              <w:rPr>
                <w:rFonts w:cs="Times New Roman"/>
              </w:rPr>
              <w:t>0.953</w:t>
            </w:r>
          </w:p>
        </w:tc>
        <w:tc>
          <w:tcPr>
            <w:tcW w:w="0" w:type="auto"/>
          </w:tcPr>
          <w:p w14:paraId="0F236094" w14:textId="77777777" w:rsidR="00697045" w:rsidRPr="004D7AFD" w:rsidRDefault="00000000">
            <w:pPr>
              <w:pStyle w:val="Compact"/>
              <w:jc w:val="right"/>
              <w:rPr>
                <w:rFonts w:cs="Times New Roman"/>
              </w:rPr>
            </w:pPr>
            <w:r w:rsidRPr="004D7AFD">
              <w:rPr>
                <w:rFonts w:cs="Times New Roman"/>
              </w:rPr>
              <w:t>0.179</w:t>
            </w:r>
          </w:p>
        </w:tc>
        <w:tc>
          <w:tcPr>
            <w:tcW w:w="0" w:type="auto"/>
          </w:tcPr>
          <w:p w14:paraId="5B3CC596" w14:textId="77777777" w:rsidR="00697045" w:rsidRPr="004D7AFD" w:rsidRDefault="00000000">
            <w:pPr>
              <w:pStyle w:val="Compact"/>
              <w:jc w:val="right"/>
              <w:rPr>
                <w:rFonts w:cs="Times New Roman"/>
              </w:rPr>
            </w:pPr>
            <w:r w:rsidRPr="004D7AFD">
              <w:rPr>
                <w:rFonts w:cs="Times New Roman"/>
              </w:rPr>
              <w:t>0.024</w:t>
            </w:r>
          </w:p>
        </w:tc>
        <w:tc>
          <w:tcPr>
            <w:tcW w:w="0" w:type="auto"/>
          </w:tcPr>
          <w:p w14:paraId="4574F1B2" w14:textId="77777777" w:rsidR="00697045" w:rsidRPr="004D7AFD" w:rsidRDefault="00000000">
            <w:pPr>
              <w:pStyle w:val="Compact"/>
              <w:jc w:val="right"/>
              <w:rPr>
                <w:rFonts w:cs="Times New Roman"/>
              </w:rPr>
            </w:pPr>
            <w:r w:rsidRPr="004D7AFD">
              <w:rPr>
                <w:rFonts w:cs="Times New Roman"/>
              </w:rPr>
              <w:t>0.007</w:t>
            </w:r>
          </w:p>
        </w:tc>
        <w:tc>
          <w:tcPr>
            <w:tcW w:w="0" w:type="auto"/>
          </w:tcPr>
          <w:p w14:paraId="32690A37" w14:textId="77777777" w:rsidR="00697045" w:rsidRPr="004D7AFD" w:rsidRDefault="00000000">
            <w:pPr>
              <w:pStyle w:val="Compact"/>
              <w:jc w:val="right"/>
              <w:rPr>
                <w:rFonts w:cs="Times New Roman"/>
              </w:rPr>
            </w:pPr>
            <w:r w:rsidRPr="004D7AFD">
              <w:rPr>
                <w:rFonts w:cs="Times New Roman"/>
              </w:rPr>
              <w:t>0.008</w:t>
            </w:r>
          </w:p>
        </w:tc>
        <w:tc>
          <w:tcPr>
            <w:tcW w:w="0" w:type="auto"/>
          </w:tcPr>
          <w:p w14:paraId="02B99D93" w14:textId="77777777" w:rsidR="00697045" w:rsidRPr="004D7AFD" w:rsidRDefault="00000000">
            <w:pPr>
              <w:pStyle w:val="Compact"/>
              <w:jc w:val="right"/>
              <w:rPr>
                <w:rFonts w:cs="Times New Roman"/>
              </w:rPr>
            </w:pPr>
            <w:r w:rsidRPr="004D7AFD">
              <w:rPr>
                <w:rFonts w:cs="Times New Roman"/>
              </w:rPr>
              <w:t>0.004</w:t>
            </w:r>
          </w:p>
        </w:tc>
        <w:tc>
          <w:tcPr>
            <w:tcW w:w="0" w:type="auto"/>
          </w:tcPr>
          <w:p w14:paraId="25DECFB8" w14:textId="77777777" w:rsidR="00697045" w:rsidRPr="004D7AFD" w:rsidRDefault="00000000">
            <w:pPr>
              <w:pStyle w:val="Compact"/>
              <w:jc w:val="right"/>
              <w:rPr>
                <w:rFonts w:cs="Times New Roman"/>
              </w:rPr>
            </w:pPr>
            <w:r w:rsidRPr="004D7AFD">
              <w:rPr>
                <w:rFonts w:cs="Times New Roman"/>
              </w:rPr>
              <w:t>0.014</w:t>
            </w:r>
          </w:p>
        </w:tc>
      </w:tr>
      <w:tr w:rsidR="00697045" w:rsidRPr="004D7AFD" w14:paraId="6F7A778B" w14:textId="77777777">
        <w:tc>
          <w:tcPr>
            <w:tcW w:w="0" w:type="auto"/>
          </w:tcPr>
          <w:p w14:paraId="21ADE744" w14:textId="77777777" w:rsidR="00697045" w:rsidRPr="004D7AFD" w:rsidRDefault="00000000">
            <w:pPr>
              <w:pStyle w:val="Compact"/>
              <w:jc w:val="left"/>
              <w:rPr>
                <w:rFonts w:cs="Times New Roman"/>
              </w:rPr>
            </w:pPr>
            <w:r w:rsidRPr="004D7AFD">
              <w:rPr>
                <w:rFonts w:cs="Times New Roman"/>
              </w:rPr>
              <w:t>Type 3: 55</w:t>
            </w:r>
          </w:p>
        </w:tc>
        <w:tc>
          <w:tcPr>
            <w:tcW w:w="0" w:type="auto"/>
          </w:tcPr>
          <w:p w14:paraId="278DCF7B" w14:textId="77777777" w:rsidR="00697045" w:rsidRPr="004D7AFD" w:rsidRDefault="00000000">
            <w:pPr>
              <w:pStyle w:val="Compact"/>
              <w:jc w:val="right"/>
              <w:rPr>
                <w:rFonts w:cs="Times New Roman"/>
              </w:rPr>
            </w:pPr>
            <w:r w:rsidRPr="004D7AFD">
              <w:rPr>
                <w:rFonts w:cs="Times New Roman"/>
              </w:rPr>
              <w:t>0.856</w:t>
            </w:r>
          </w:p>
        </w:tc>
        <w:tc>
          <w:tcPr>
            <w:tcW w:w="0" w:type="auto"/>
          </w:tcPr>
          <w:p w14:paraId="065D68DF" w14:textId="77777777" w:rsidR="00697045" w:rsidRPr="004D7AFD" w:rsidRDefault="00000000">
            <w:pPr>
              <w:pStyle w:val="Compact"/>
              <w:jc w:val="right"/>
              <w:rPr>
                <w:rFonts w:cs="Times New Roman"/>
              </w:rPr>
            </w:pPr>
            <w:r w:rsidRPr="004D7AFD">
              <w:rPr>
                <w:rFonts w:cs="Times New Roman"/>
              </w:rPr>
              <w:t>0.933</w:t>
            </w:r>
          </w:p>
        </w:tc>
        <w:tc>
          <w:tcPr>
            <w:tcW w:w="0" w:type="auto"/>
          </w:tcPr>
          <w:p w14:paraId="488CD58E" w14:textId="77777777" w:rsidR="00697045" w:rsidRPr="004D7AFD" w:rsidRDefault="00000000">
            <w:pPr>
              <w:pStyle w:val="Compact"/>
              <w:jc w:val="right"/>
              <w:rPr>
                <w:rFonts w:cs="Times New Roman"/>
              </w:rPr>
            </w:pPr>
            <w:r w:rsidRPr="004D7AFD">
              <w:rPr>
                <w:rFonts w:cs="Times New Roman"/>
              </w:rPr>
              <w:t>0.141</w:t>
            </w:r>
          </w:p>
        </w:tc>
        <w:tc>
          <w:tcPr>
            <w:tcW w:w="0" w:type="auto"/>
          </w:tcPr>
          <w:p w14:paraId="5DE9784F" w14:textId="77777777" w:rsidR="00697045" w:rsidRPr="004D7AFD" w:rsidRDefault="00000000">
            <w:pPr>
              <w:pStyle w:val="Compact"/>
              <w:jc w:val="right"/>
              <w:rPr>
                <w:rFonts w:cs="Times New Roman"/>
              </w:rPr>
            </w:pPr>
            <w:r w:rsidRPr="004D7AFD">
              <w:rPr>
                <w:rFonts w:cs="Times New Roman"/>
              </w:rPr>
              <w:t>0.059</w:t>
            </w:r>
          </w:p>
        </w:tc>
        <w:tc>
          <w:tcPr>
            <w:tcW w:w="0" w:type="auto"/>
          </w:tcPr>
          <w:p w14:paraId="60B952BA" w14:textId="77777777" w:rsidR="00697045" w:rsidRPr="004D7AFD" w:rsidRDefault="00000000">
            <w:pPr>
              <w:pStyle w:val="Compact"/>
              <w:jc w:val="right"/>
              <w:rPr>
                <w:rFonts w:cs="Times New Roman"/>
              </w:rPr>
            </w:pPr>
            <w:r w:rsidRPr="004D7AFD">
              <w:rPr>
                <w:rFonts w:cs="Times New Roman"/>
              </w:rPr>
              <w:t>0.003</w:t>
            </w:r>
          </w:p>
        </w:tc>
        <w:tc>
          <w:tcPr>
            <w:tcW w:w="0" w:type="auto"/>
          </w:tcPr>
          <w:p w14:paraId="40A79637" w14:textId="77777777" w:rsidR="00697045" w:rsidRPr="004D7AFD" w:rsidRDefault="00000000">
            <w:pPr>
              <w:pStyle w:val="Compact"/>
              <w:jc w:val="right"/>
              <w:rPr>
                <w:rFonts w:cs="Times New Roman"/>
              </w:rPr>
            </w:pPr>
            <w:r w:rsidRPr="004D7AFD">
              <w:rPr>
                <w:rFonts w:cs="Times New Roman"/>
              </w:rPr>
              <w:t>0.004</w:t>
            </w:r>
          </w:p>
        </w:tc>
        <w:tc>
          <w:tcPr>
            <w:tcW w:w="0" w:type="auto"/>
          </w:tcPr>
          <w:p w14:paraId="783AA45A" w14:textId="77777777" w:rsidR="00697045" w:rsidRPr="004D7AFD" w:rsidRDefault="00000000">
            <w:pPr>
              <w:pStyle w:val="Compact"/>
              <w:jc w:val="right"/>
              <w:rPr>
                <w:rFonts w:cs="Times New Roman"/>
              </w:rPr>
            </w:pPr>
            <w:r w:rsidRPr="004D7AFD">
              <w:rPr>
                <w:rFonts w:cs="Times New Roman"/>
              </w:rPr>
              <w:t>0.000</w:t>
            </w:r>
          </w:p>
        </w:tc>
        <w:tc>
          <w:tcPr>
            <w:tcW w:w="0" w:type="auto"/>
          </w:tcPr>
          <w:p w14:paraId="7CC011DE" w14:textId="77777777" w:rsidR="00697045" w:rsidRPr="004D7AFD" w:rsidRDefault="00000000">
            <w:pPr>
              <w:pStyle w:val="Compact"/>
              <w:jc w:val="right"/>
              <w:rPr>
                <w:rFonts w:cs="Times New Roman"/>
              </w:rPr>
            </w:pPr>
            <w:r w:rsidRPr="004D7AFD">
              <w:rPr>
                <w:rFonts w:cs="Times New Roman"/>
              </w:rPr>
              <w:t>0.004</w:t>
            </w:r>
          </w:p>
        </w:tc>
      </w:tr>
      <w:tr w:rsidR="00697045" w:rsidRPr="004D7AFD" w14:paraId="1ED509FE" w14:textId="77777777">
        <w:tc>
          <w:tcPr>
            <w:tcW w:w="0" w:type="auto"/>
          </w:tcPr>
          <w:p w14:paraId="4849001D" w14:textId="77777777" w:rsidR="00697045" w:rsidRPr="004D7AFD" w:rsidRDefault="00000000">
            <w:pPr>
              <w:pStyle w:val="Compact"/>
              <w:jc w:val="left"/>
              <w:rPr>
                <w:rFonts w:cs="Times New Roman"/>
              </w:rPr>
            </w:pPr>
            <w:r w:rsidRPr="004D7AFD">
              <w:rPr>
                <w:rFonts w:cs="Times New Roman"/>
              </w:rPr>
              <w:t>Type 4: 55</w:t>
            </w:r>
          </w:p>
        </w:tc>
        <w:tc>
          <w:tcPr>
            <w:tcW w:w="0" w:type="auto"/>
          </w:tcPr>
          <w:p w14:paraId="339632AD" w14:textId="77777777" w:rsidR="00697045" w:rsidRPr="004D7AFD" w:rsidRDefault="00000000">
            <w:pPr>
              <w:pStyle w:val="Compact"/>
              <w:jc w:val="right"/>
              <w:rPr>
                <w:rFonts w:cs="Times New Roman"/>
              </w:rPr>
            </w:pPr>
            <w:r w:rsidRPr="004D7AFD">
              <w:rPr>
                <w:rFonts w:cs="Times New Roman"/>
              </w:rPr>
              <w:t>0.789</w:t>
            </w:r>
          </w:p>
        </w:tc>
        <w:tc>
          <w:tcPr>
            <w:tcW w:w="0" w:type="auto"/>
          </w:tcPr>
          <w:p w14:paraId="2422DE08" w14:textId="77777777" w:rsidR="00697045" w:rsidRPr="004D7AFD" w:rsidRDefault="00000000">
            <w:pPr>
              <w:pStyle w:val="Compact"/>
              <w:jc w:val="right"/>
              <w:rPr>
                <w:rFonts w:cs="Times New Roman"/>
              </w:rPr>
            </w:pPr>
            <w:r w:rsidRPr="004D7AFD">
              <w:rPr>
                <w:rFonts w:cs="Times New Roman"/>
              </w:rPr>
              <w:t>0.923</w:t>
            </w:r>
          </w:p>
        </w:tc>
        <w:tc>
          <w:tcPr>
            <w:tcW w:w="0" w:type="auto"/>
          </w:tcPr>
          <w:p w14:paraId="68ACA1CF" w14:textId="77777777" w:rsidR="00697045" w:rsidRPr="004D7AFD" w:rsidRDefault="00000000">
            <w:pPr>
              <w:pStyle w:val="Compact"/>
              <w:jc w:val="right"/>
              <w:rPr>
                <w:rFonts w:cs="Times New Roman"/>
              </w:rPr>
            </w:pPr>
            <w:r w:rsidRPr="004D7AFD">
              <w:rPr>
                <w:rFonts w:cs="Times New Roman"/>
              </w:rPr>
              <w:t>0.200</w:t>
            </w:r>
          </w:p>
        </w:tc>
        <w:tc>
          <w:tcPr>
            <w:tcW w:w="0" w:type="auto"/>
          </w:tcPr>
          <w:p w14:paraId="41C87849" w14:textId="77777777" w:rsidR="00697045" w:rsidRPr="004D7AFD" w:rsidRDefault="00000000">
            <w:pPr>
              <w:pStyle w:val="Compact"/>
              <w:jc w:val="right"/>
              <w:rPr>
                <w:rFonts w:cs="Times New Roman"/>
              </w:rPr>
            </w:pPr>
            <w:r w:rsidRPr="004D7AFD">
              <w:rPr>
                <w:rFonts w:cs="Times New Roman"/>
              </w:rPr>
              <w:t>0.058</w:t>
            </w:r>
          </w:p>
        </w:tc>
        <w:tc>
          <w:tcPr>
            <w:tcW w:w="0" w:type="auto"/>
          </w:tcPr>
          <w:p w14:paraId="42BB6C8D" w14:textId="77777777" w:rsidR="00697045" w:rsidRPr="004D7AFD" w:rsidRDefault="00000000">
            <w:pPr>
              <w:pStyle w:val="Compact"/>
              <w:jc w:val="right"/>
              <w:rPr>
                <w:rFonts w:cs="Times New Roman"/>
              </w:rPr>
            </w:pPr>
            <w:r w:rsidRPr="004D7AFD">
              <w:rPr>
                <w:rFonts w:cs="Times New Roman"/>
              </w:rPr>
              <w:t>0.009</w:t>
            </w:r>
          </w:p>
        </w:tc>
        <w:tc>
          <w:tcPr>
            <w:tcW w:w="0" w:type="auto"/>
          </w:tcPr>
          <w:p w14:paraId="2B402382" w14:textId="77777777" w:rsidR="00697045" w:rsidRPr="004D7AFD" w:rsidRDefault="00000000">
            <w:pPr>
              <w:pStyle w:val="Compact"/>
              <w:jc w:val="right"/>
              <w:rPr>
                <w:rFonts w:cs="Times New Roman"/>
              </w:rPr>
            </w:pPr>
            <w:r w:rsidRPr="004D7AFD">
              <w:rPr>
                <w:rFonts w:cs="Times New Roman"/>
              </w:rPr>
              <w:t>0.011</w:t>
            </w:r>
          </w:p>
        </w:tc>
        <w:tc>
          <w:tcPr>
            <w:tcW w:w="0" w:type="auto"/>
          </w:tcPr>
          <w:p w14:paraId="569EF43D" w14:textId="77777777" w:rsidR="00697045" w:rsidRPr="004D7AFD" w:rsidRDefault="00000000">
            <w:pPr>
              <w:pStyle w:val="Compact"/>
              <w:jc w:val="right"/>
              <w:rPr>
                <w:rFonts w:cs="Times New Roman"/>
              </w:rPr>
            </w:pPr>
            <w:r w:rsidRPr="004D7AFD">
              <w:rPr>
                <w:rFonts w:cs="Times New Roman"/>
              </w:rPr>
              <w:t>0.002</w:t>
            </w:r>
          </w:p>
        </w:tc>
        <w:tc>
          <w:tcPr>
            <w:tcW w:w="0" w:type="auto"/>
          </w:tcPr>
          <w:p w14:paraId="2B0CA2FA" w14:textId="77777777" w:rsidR="00697045" w:rsidRPr="004D7AFD" w:rsidRDefault="00000000">
            <w:pPr>
              <w:pStyle w:val="Compact"/>
              <w:jc w:val="right"/>
              <w:rPr>
                <w:rFonts w:cs="Times New Roman"/>
              </w:rPr>
            </w:pPr>
            <w:r w:rsidRPr="004D7AFD">
              <w:rPr>
                <w:rFonts w:cs="Times New Roman"/>
              </w:rPr>
              <w:t>0.008</w:t>
            </w:r>
          </w:p>
        </w:tc>
      </w:tr>
      <w:tr w:rsidR="00697045" w:rsidRPr="004D7AFD" w14:paraId="0B1CEBCF" w14:textId="77777777">
        <w:tc>
          <w:tcPr>
            <w:tcW w:w="0" w:type="auto"/>
          </w:tcPr>
          <w:p w14:paraId="6DED1F73" w14:textId="77777777" w:rsidR="00697045" w:rsidRPr="004D7AFD" w:rsidRDefault="00000000">
            <w:pPr>
              <w:pStyle w:val="Compact"/>
              <w:jc w:val="left"/>
              <w:rPr>
                <w:rFonts w:cs="Times New Roman"/>
              </w:rPr>
            </w:pPr>
            <w:r w:rsidRPr="004D7AFD">
              <w:rPr>
                <w:rFonts w:cs="Times New Roman"/>
              </w:rPr>
              <w:t>Type 1: 60</w:t>
            </w:r>
          </w:p>
        </w:tc>
        <w:tc>
          <w:tcPr>
            <w:tcW w:w="0" w:type="auto"/>
          </w:tcPr>
          <w:p w14:paraId="3CDC783D" w14:textId="77777777" w:rsidR="00697045" w:rsidRPr="004D7AFD" w:rsidRDefault="00000000">
            <w:pPr>
              <w:pStyle w:val="Compact"/>
              <w:jc w:val="right"/>
              <w:rPr>
                <w:rFonts w:cs="Times New Roman"/>
              </w:rPr>
            </w:pPr>
            <w:r w:rsidRPr="004D7AFD">
              <w:rPr>
                <w:rFonts w:cs="Times New Roman"/>
              </w:rPr>
              <w:t>0.400</w:t>
            </w:r>
          </w:p>
        </w:tc>
        <w:tc>
          <w:tcPr>
            <w:tcW w:w="0" w:type="auto"/>
          </w:tcPr>
          <w:p w14:paraId="70FD8091" w14:textId="77777777" w:rsidR="00697045" w:rsidRPr="004D7AFD" w:rsidRDefault="00000000">
            <w:pPr>
              <w:pStyle w:val="Compact"/>
              <w:jc w:val="right"/>
              <w:rPr>
                <w:rFonts w:cs="Times New Roman"/>
              </w:rPr>
            </w:pPr>
            <w:r w:rsidRPr="004D7AFD">
              <w:rPr>
                <w:rFonts w:cs="Times New Roman"/>
              </w:rPr>
              <w:t>0.792</w:t>
            </w:r>
          </w:p>
        </w:tc>
        <w:tc>
          <w:tcPr>
            <w:tcW w:w="0" w:type="auto"/>
          </w:tcPr>
          <w:p w14:paraId="483A34A9" w14:textId="77777777" w:rsidR="00697045" w:rsidRPr="004D7AFD" w:rsidRDefault="00000000">
            <w:pPr>
              <w:pStyle w:val="Compact"/>
              <w:jc w:val="right"/>
              <w:rPr>
                <w:rFonts w:cs="Times New Roman"/>
              </w:rPr>
            </w:pPr>
            <w:r w:rsidRPr="004D7AFD">
              <w:rPr>
                <w:rFonts w:cs="Times New Roman"/>
              </w:rPr>
              <w:t>0.466</w:t>
            </w:r>
          </w:p>
        </w:tc>
        <w:tc>
          <w:tcPr>
            <w:tcW w:w="0" w:type="auto"/>
          </w:tcPr>
          <w:p w14:paraId="7C030624" w14:textId="77777777" w:rsidR="00697045" w:rsidRPr="004D7AFD" w:rsidRDefault="00000000">
            <w:pPr>
              <w:pStyle w:val="Compact"/>
              <w:jc w:val="right"/>
              <w:rPr>
                <w:rFonts w:cs="Times New Roman"/>
              </w:rPr>
            </w:pPr>
            <w:r w:rsidRPr="004D7AFD">
              <w:rPr>
                <w:rFonts w:cs="Times New Roman"/>
              </w:rPr>
              <w:t>0.040</w:t>
            </w:r>
          </w:p>
        </w:tc>
        <w:tc>
          <w:tcPr>
            <w:tcW w:w="0" w:type="auto"/>
          </w:tcPr>
          <w:p w14:paraId="1B0F8F9D" w14:textId="77777777" w:rsidR="00697045" w:rsidRPr="004D7AFD" w:rsidRDefault="00000000">
            <w:pPr>
              <w:pStyle w:val="Compact"/>
              <w:jc w:val="right"/>
              <w:rPr>
                <w:rFonts w:cs="Times New Roman"/>
              </w:rPr>
            </w:pPr>
            <w:r w:rsidRPr="004D7AFD">
              <w:rPr>
                <w:rFonts w:cs="Times New Roman"/>
              </w:rPr>
              <w:t>0.063</w:t>
            </w:r>
          </w:p>
        </w:tc>
        <w:tc>
          <w:tcPr>
            <w:tcW w:w="0" w:type="auto"/>
          </w:tcPr>
          <w:p w14:paraId="3F052951" w14:textId="77777777" w:rsidR="00697045" w:rsidRPr="004D7AFD" w:rsidRDefault="00000000">
            <w:pPr>
              <w:pStyle w:val="Compact"/>
              <w:jc w:val="right"/>
              <w:rPr>
                <w:rFonts w:cs="Times New Roman"/>
              </w:rPr>
            </w:pPr>
            <w:r w:rsidRPr="004D7AFD">
              <w:rPr>
                <w:rFonts w:cs="Times New Roman"/>
              </w:rPr>
              <w:t>0.078</w:t>
            </w:r>
          </w:p>
        </w:tc>
        <w:tc>
          <w:tcPr>
            <w:tcW w:w="0" w:type="auto"/>
          </w:tcPr>
          <w:p w14:paraId="440ED381" w14:textId="77777777" w:rsidR="00697045" w:rsidRPr="004D7AFD" w:rsidRDefault="00000000">
            <w:pPr>
              <w:pStyle w:val="Compact"/>
              <w:jc w:val="right"/>
              <w:rPr>
                <w:rFonts w:cs="Times New Roman"/>
              </w:rPr>
            </w:pPr>
            <w:r w:rsidRPr="004D7AFD">
              <w:rPr>
                <w:rFonts w:cs="Times New Roman"/>
              </w:rPr>
              <w:t>0.072</w:t>
            </w:r>
          </w:p>
        </w:tc>
        <w:tc>
          <w:tcPr>
            <w:tcW w:w="0" w:type="auto"/>
          </w:tcPr>
          <w:p w14:paraId="07D4D5DB" w14:textId="77777777" w:rsidR="00697045" w:rsidRPr="004D7AFD" w:rsidRDefault="00000000">
            <w:pPr>
              <w:pStyle w:val="Compact"/>
              <w:jc w:val="right"/>
              <w:rPr>
                <w:rFonts w:cs="Times New Roman"/>
              </w:rPr>
            </w:pPr>
            <w:r w:rsidRPr="004D7AFD">
              <w:rPr>
                <w:rFonts w:cs="Times New Roman"/>
              </w:rPr>
              <w:t>0.091</w:t>
            </w:r>
          </w:p>
        </w:tc>
      </w:tr>
      <w:tr w:rsidR="00697045" w:rsidRPr="004D7AFD" w14:paraId="45622637" w14:textId="77777777">
        <w:tc>
          <w:tcPr>
            <w:tcW w:w="0" w:type="auto"/>
          </w:tcPr>
          <w:p w14:paraId="6F8F0EFB" w14:textId="77777777" w:rsidR="00697045" w:rsidRPr="004D7AFD" w:rsidRDefault="00000000">
            <w:pPr>
              <w:pStyle w:val="Compact"/>
              <w:jc w:val="left"/>
              <w:rPr>
                <w:rFonts w:cs="Times New Roman"/>
              </w:rPr>
            </w:pPr>
            <w:r w:rsidRPr="004D7AFD">
              <w:rPr>
                <w:rFonts w:cs="Times New Roman"/>
              </w:rPr>
              <w:t>Type 2: 60</w:t>
            </w:r>
          </w:p>
        </w:tc>
        <w:tc>
          <w:tcPr>
            <w:tcW w:w="0" w:type="auto"/>
          </w:tcPr>
          <w:p w14:paraId="5E3EA885" w14:textId="77777777" w:rsidR="00697045" w:rsidRPr="004D7AFD" w:rsidRDefault="00000000">
            <w:pPr>
              <w:pStyle w:val="Compact"/>
              <w:jc w:val="right"/>
              <w:rPr>
                <w:rFonts w:cs="Times New Roman"/>
              </w:rPr>
            </w:pPr>
            <w:r w:rsidRPr="004D7AFD">
              <w:rPr>
                <w:rFonts w:cs="Times New Roman"/>
              </w:rPr>
              <w:t>0.573</w:t>
            </w:r>
          </w:p>
        </w:tc>
        <w:tc>
          <w:tcPr>
            <w:tcW w:w="0" w:type="auto"/>
          </w:tcPr>
          <w:p w14:paraId="24D3E18A" w14:textId="77777777" w:rsidR="00697045" w:rsidRPr="004D7AFD" w:rsidRDefault="00000000">
            <w:pPr>
              <w:pStyle w:val="Compact"/>
              <w:jc w:val="right"/>
              <w:rPr>
                <w:rFonts w:cs="Times New Roman"/>
              </w:rPr>
            </w:pPr>
            <w:r w:rsidRPr="004D7AFD">
              <w:rPr>
                <w:rFonts w:cs="Times New Roman"/>
              </w:rPr>
              <w:t>0.879</w:t>
            </w:r>
          </w:p>
        </w:tc>
        <w:tc>
          <w:tcPr>
            <w:tcW w:w="0" w:type="auto"/>
          </w:tcPr>
          <w:p w14:paraId="6F804232" w14:textId="77777777" w:rsidR="00697045" w:rsidRPr="004D7AFD" w:rsidRDefault="00000000">
            <w:pPr>
              <w:pStyle w:val="Compact"/>
              <w:jc w:val="right"/>
              <w:rPr>
                <w:rFonts w:cs="Times New Roman"/>
              </w:rPr>
            </w:pPr>
            <w:r w:rsidRPr="004D7AFD">
              <w:rPr>
                <w:rFonts w:cs="Times New Roman"/>
              </w:rPr>
              <w:t>0.386</w:t>
            </w:r>
          </w:p>
        </w:tc>
        <w:tc>
          <w:tcPr>
            <w:tcW w:w="0" w:type="auto"/>
          </w:tcPr>
          <w:p w14:paraId="26787AEA" w14:textId="77777777" w:rsidR="00697045" w:rsidRPr="004D7AFD" w:rsidRDefault="00000000">
            <w:pPr>
              <w:pStyle w:val="Compact"/>
              <w:jc w:val="right"/>
              <w:rPr>
                <w:rFonts w:cs="Times New Roman"/>
              </w:rPr>
            </w:pPr>
            <w:r w:rsidRPr="004D7AFD">
              <w:rPr>
                <w:rFonts w:cs="Times New Roman"/>
              </w:rPr>
              <w:t>0.047</w:t>
            </w:r>
          </w:p>
        </w:tc>
        <w:tc>
          <w:tcPr>
            <w:tcW w:w="0" w:type="auto"/>
          </w:tcPr>
          <w:p w14:paraId="77103B7F" w14:textId="77777777" w:rsidR="00697045" w:rsidRPr="004D7AFD" w:rsidRDefault="00000000">
            <w:pPr>
              <w:pStyle w:val="Compact"/>
              <w:jc w:val="right"/>
              <w:rPr>
                <w:rFonts w:cs="Times New Roman"/>
              </w:rPr>
            </w:pPr>
            <w:r w:rsidRPr="004D7AFD">
              <w:rPr>
                <w:rFonts w:cs="Times New Roman"/>
              </w:rPr>
              <w:t>0.021</w:t>
            </w:r>
          </w:p>
        </w:tc>
        <w:tc>
          <w:tcPr>
            <w:tcW w:w="0" w:type="auto"/>
          </w:tcPr>
          <w:p w14:paraId="44C764D5" w14:textId="77777777" w:rsidR="00697045" w:rsidRPr="004D7AFD" w:rsidRDefault="00000000">
            <w:pPr>
              <w:pStyle w:val="Compact"/>
              <w:jc w:val="right"/>
              <w:rPr>
                <w:rFonts w:cs="Times New Roman"/>
              </w:rPr>
            </w:pPr>
            <w:r w:rsidRPr="004D7AFD">
              <w:rPr>
                <w:rFonts w:cs="Times New Roman"/>
              </w:rPr>
              <w:t>0.030</w:t>
            </w:r>
          </w:p>
        </w:tc>
        <w:tc>
          <w:tcPr>
            <w:tcW w:w="0" w:type="auto"/>
          </w:tcPr>
          <w:p w14:paraId="30741639" w14:textId="77777777" w:rsidR="00697045" w:rsidRPr="004D7AFD" w:rsidRDefault="00000000">
            <w:pPr>
              <w:pStyle w:val="Compact"/>
              <w:jc w:val="right"/>
              <w:rPr>
                <w:rFonts w:cs="Times New Roman"/>
              </w:rPr>
            </w:pPr>
            <w:r w:rsidRPr="004D7AFD">
              <w:rPr>
                <w:rFonts w:cs="Times New Roman"/>
              </w:rPr>
              <w:t>0.021</w:t>
            </w:r>
          </w:p>
        </w:tc>
        <w:tc>
          <w:tcPr>
            <w:tcW w:w="0" w:type="auto"/>
          </w:tcPr>
          <w:p w14:paraId="70855030" w14:textId="77777777" w:rsidR="00697045" w:rsidRPr="004D7AFD" w:rsidRDefault="00000000">
            <w:pPr>
              <w:pStyle w:val="Compact"/>
              <w:jc w:val="right"/>
              <w:rPr>
                <w:rFonts w:cs="Times New Roman"/>
              </w:rPr>
            </w:pPr>
            <w:r w:rsidRPr="004D7AFD">
              <w:rPr>
                <w:rFonts w:cs="Times New Roman"/>
              </w:rPr>
              <w:t>0.044</w:t>
            </w:r>
          </w:p>
        </w:tc>
      </w:tr>
      <w:tr w:rsidR="00697045" w:rsidRPr="004D7AFD" w14:paraId="74DDF524" w14:textId="77777777">
        <w:tc>
          <w:tcPr>
            <w:tcW w:w="0" w:type="auto"/>
          </w:tcPr>
          <w:p w14:paraId="6160F1A8" w14:textId="77777777" w:rsidR="00697045" w:rsidRPr="004D7AFD" w:rsidRDefault="00000000">
            <w:pPr>
              <w:pStyle w:val="Compact"/>
              <w:jc w:val="left"/>
              <w:rPr>
                <w:rFonts w:cs="Times New Roman"/>
              </w:rPr>
            </w:pPr>
            <w:r w:rsidRPr="004D7AFD">
              <w:rPr>
                <w:rFonts w:cs="Times New Roman"/>
              </w:rPr>
              <w:t>Type 3: 60</w:t>
            </w:r>
          </w:p>
        </w:tc>
        <w:tc>
          <w:tcPr>
            <w:tcW w:w="0" w:type="auto"/>
          </w:tcPr>
          <w:p w14:paraId="5F23A687" w14:textId="77777777" w:rsidR="00697045" w:rsidRPr="004D7AFD" w:rsidRDefault="00000000">
            <w:pPr>
              <w:pStyle w:val="Compact"/>
              <w:jc w:val="right"/>
              <w:rPr>
                <w:rFonts w:cs="Times New Roman"/>
              </w:rPr>
            </w:pPr>
            <w:r w:rsidRPr="004D7AFD">
              <w:rPr>
                <w:rFonts w:cs="Times New Roman"/>
              </w:rPr>
              <w:t>0.672</w:t>
            </w:r>
          </w:p>
        </w:tc>
        <w:tc>
          <w:tcPr>
            <w:tcW w:w="0" w:type="auto"/>
          </w:tcPr>
          <w:p w14:paraId="75B8637A" w14:textId="77777777" w:rsidR="00697045" w:rsidRPr="004D7AFD" w:rsidRDefault="00000000">
            <w:pPr>
              <w:pStyle w:val="Compact"/>
              <w:jc w:val="right"/>
              <w:rPr>
                <w:rFonts w:cs="Times New Roman"/>
              </w:rPr>
            </w:pPr>
            <w:r w:rsidRPr="004D7AFD">
              <w:rPr>
                <w:rFonts w:cs="Times New Roman"/>
              </w:rPr>
              <w:t>0.855</w:t>
            </w:r>
          </w:p>
        </w:tc>
        <w:tc>
          <w:tcPr>
            <w:tcW w:w="0" w:type="auto"/>
          </w:tcPr>
          <w:p w14:paraId="3DCD48BD" w14:textId="77777777" w:rsidR="00697045" w:rsidRPr="004D7AFD" w:rsidRDefault="00000000">
            <w:pPr>
              <w:pStyle w:val="Compact"/>
              <w:jc w:val="right"/>
              <w:rPr>
                <w:rFonts w:cs="Times New Roman"/>
              </w:rPr>
            </w:pPr>
            <w:r w:rsidRPr="004D7AFD">
              <w:rPr>
                <w:rFonts w:cs="Times New Roman"/>
              </w:rPr>
              <w:t>0.316</w:t>
            </w:r>
          </w:p>
        </w:tc>
        <w:tc>
          <w:tcPr>
            <w:tcW w:w="0" w:type="auto"/>
          </w:tcPr>
          <w:p w14:paraId="076C5999" w14:textId="77777777" w:rsidR="00697045" w:rsidRPr="004D7AFD" w:rsidRDefault="00000000">
            <w:pPr>
              <w:pStyle w:val="Compact"/>
              <w:jc w:val="right"/>
              <w:rPr>
                <w:rFonts w:cs="Times New Roman"/>
              </w:rPr>
            </w:pPr>
            <w:r w:rsidRPr="004D7AFD">
              <w:rPr>
                <w:rFonts w:cs="Times New Roman"/>
              </w:rPr>
              <w:t>0.119</w:t>
            </w:r>
          </w:p>
        </w:tc>
        <w:tc>
          <w:tcPr>
            <w:tcW w:w="0" w:type="auto"/>
          </w:tcPr>
          <w:p w14:paraId="62B5FB60" w14:textId="77777777" w:rsidR="00697045" w:rsidRPr="004D7AFD" w:rsidRDefault="00000000">
            <w:pPr>
              <w:pStyle w:val="Compact"/>
              <w:jc w:val="right"/>
              <w:rPr>
                <w:rFonts w:cs="Times New Roman"/>
              </w:rPr>
            </w:pPr>
            <w:r w:rsidRPr="004D7AFD">
              <w:rPr>
                <w:rFonts w:cs="Times New Roman"/>
              </w:rPr>
              <w:t>0.009</w:t>
            </w:r>
          </w:p>
        </w:tc>
        <w:tc>
          <w:tcPr>
            <w:tcW w:w="0" w:type="auto"/>
          </w:tcPr>
          <w:p w14:paraId="7A7985F0" w14:textId="77777777" w:rsidR="00697045" w:rsidRPr="004D7AFD" w:rsidRDefault="00000000">
            <w:pPr>
              <w:pStyle w:val="Compact"/>
              <w:jc w:val="right"/>
              <w:rPr>
                <w:rFonts w:cs="Times New Roman"/>
              </w:rPr>
            </w:pPr>
            <w:r w:rsidRPr="004D7AFD">
              <w:rPr>
                <w:rFonts w:cs="Times New Roman"/>
              </w:rPr>
              <w:t>0.015</w:t>
            </w:r>
          </w:p>
        </w:tc>
        <w:tc>
          <w:tcPr>
            <w:tcW w:w="0" w:type="auto"/>
          </w:tcPr>
          <w:p w14:paraId="23142FE4" w14:textId="77777777" w:rsidR="00697045" w:rsidRPr="004D7AFD" w:rsidRDefault="00000000">
            <w:pPr>
              <w:pStyle w:val="Compact"/>
              <w:jc w:val="right"/>
              <w:rPr>
                <w:rFonts w:cs="Times New Roman"/>
              </w:rPr>
            </w:pPr>
            <w:r w:rsidRPr="004D7AFD">
              <w:rPr>
                <w:rFonts w:cs="Times New Roman"/>
              </w:rPr>
              <w:t>0.003</w:t>
            </w:r>
          </w:p>
        </w:tc>
        <w:tc>
          <w:tcPr>
            <w:tcW w:w="0" w:type="auto"/>
          </w:tcPr>
          <w:p w14:paraId="587E004A" w14:textId="77777777" w:rsidR="00697045" w:rsidRPr="004D7AFD" w:rsidRDefault="00000000">
            <w:pPr>
              <w:pStyle w:val="Compact"/>
              <w:jc w:val="right"/>
              <w:rPr>
                <w:rFonts w:cs="Times New Roman"/>
              </w:rPr>
            </w:pPr>
            <w:r w:rsidRPr="004D7AFD">
              <w:rPr>
                <w:rFonts w:cs="Times New Roman"/>
              </w:rPr>
              <w:t>0.011</w:t>
            </w:r>
          </w:p>
        </w:tc>
      </w:tr>
      <w:tr w:rsidR="00697045" w:rsidRPr="004D7AFD" w14:paraId="5F1D3A09" w14:textId="77777777">
        <w:tc>
          <w:tcPr>
            <w:tcW w:w="0" w:type="auto"/>
          </w:tcPr>
          <w:p w14:paraId="02125341" w14:textId="77777777" w:rsidR="00697045" w:rsidRPr="004D7AFD" w:rsidRDefault="00000000">
            <w:pPr>
              <w:pStyle w:val="Compact"/>
              <w:jc w:val="left"/>
              <w:rPr>
                <w:rFonts w:cs="Times New Roman"/>
              </w:rPr>
            </w:pPr>
            <w:r w:rsidRPr="004D7AFD">
              <w:rPr>
                <w:rFonts w:cs="Times New Roman"/>
              </w:rPr>
              <w:t>Type 4: 60</w:t>
            </w:r>
          </w:p>
        </w:tc>
        <w:tc>
          <w:tcPr>
            <w:tcW w:w="0" w:type="auto"/>
          </w:tcPr>
          <w:p w14:paraId="14108AC1" w14:textId="77777777" w:rsidR="00697045" w:rsidRPr="004D7AFD" w:rsidRDefault="00000000">
            <w:pPr>
              <w:pStyle w:val="Compact"/>
              <w:jc w:val="right"/>
              <w:rPr>
                <w:rFonts w:cs="Times New Roman"/>
              </w:rPr>
            </w:pPr>
            <w:r w:rsidRPr="004D7AFD">
              <w:rPr>
                <w:rFonts w:cs="Times New Roman"/>
              </w:rPr>
              <w:t>0.546</w:t>
            </w:r>
          </w:p>
        </w:tc>
        <w:tc>
          <w:tcPr>
            <w:tcW w:w="0" w:type="auto"/>
          </w:tcPr>
          <w:p w14:paraId="59A7D30C" w14:textId="77777777" w:rsidR="00697045" w:rsidRPr="004D7AFD" w:rsidRDefault="00000000">
            <w:pPr>
              <w:pStyle w:val="Compact"/>
              <w:jc w:val="right"/>
              <w:rPr>
                <w:rFonts w:cs="Times New Roman"/>
              </w:rPr>
            </w:pPr>
            <w:r w:rsidRPr="004D7AFD">
              <w:rPr>
                <w:rFonts w:cs="Times New Roman"/>
              </w:rPr>
              <w:t>0.827</w:t>
            </w:r>
          </w:p>
        </w:tc>
        <w:tc>
          <w:tcPr>
            <w:tcW w:w="0" w:type="auto"/>
          </w:tcPr>
          <w:p w14:paraId="16586866" w14:textId="77777777" w:rsidR="00697045" w:rsidRPr="004D7AFD" w:rsidRDefault="00000000">
            <w:pPr>
              <w:pStyle w:val="Compact"/>
              <w:jc w:val="right"/>
              <w:rPr>
                <w:rFonts w:cs="Times New Roman"/>
              </w:rPr>
            </w:pPr>
            <w:r w:rsidRPr="004D7AFD">
              <w:rPr>
                <w:rFonts w:cs="Times New Roman"/>
              </w:rPr>
              <w:t>0.415</w:t>
            </w:r>
          </w:p>
        </w:tc>
        <w:tc>
          <w:tcPr>
            <w:tcW w:w="0" w:type="auto"/>
          </w:tcPr>
          <w:p w14:paraId="58A9E041" w14:textId="77777777" w:rsidR="00697045" w:rsidRPr="004D7AFD" w:rsidRDefault="00000000">
            <w:pPr>
              <w:pStyle w:val="Compact"/>
              <w:jc w:val="right"/>
              <w:rPr>
                <w:rFonts w:cs="Times New Roman"/>
              </w:rPr>
            </w:pPr>
            <w:r w:rsidRPr="004D7AFD">
              <w:rPr>
                <w:rFonts w:cs="Times New Roman"/>
              </w:rPr>
              <w:t>0.109</w:t>
            </w:r>
          </w:p>
        </w:tc>
        <w:tc>
          <w:tcPr>
            <w:tcW w:w="0" w:type="auto"/>
          </w:tcPr>
          <w:p w14:paraId="080CF73B" w14:textId="77777777" w:rsidR="00697045" w:rsidRPr="004D7AFD" w:rsidRDefault="00000000">
            <w:pPr>
              <w:pStyle w:val="Compact"/>
              <w:jc w:val="right"/>
              <w:rPr>
                <w:rFonts w:cs="Times New Roman"/>
              </w:rPr>
            </w:pPr>
            <w:r w:rsidRPr="004D7AFD">
              <w:rPr>
                <w:rFonts w:cs="Times New Roman"/>
              </w:rPr>
              <w:t>0.028</w:t>
            </w:r>
          </w:p>
        </w:tc>
        <w:tc>
          <w:tcPr>
            <w:tcW w:w="0" w:type="auto"/>
          </w:tcPr>
          <w:p w14:paraId="74754F33" w14:textId="77777777" w:rsidR="00697045" w:rsidRPr="004D7AFD" w:rsidRDefault="00000000">
            <w:pPr>
              <w:pStyle w:val="Compact"/>
              <w:jc w:val="right"/>
              <w:rPr>
                <w:rFonts w:cs="Times New Roman"/>
              </w:rPr>
            </w:pPr>
            <w:r w:rsidRPr="004D7AFD">
              <w:rPr>
                <w:rFonts w:cs="Times New Roman"/>
              </w:rPr>
              <w:t>0.040</w:t>
            </w:r>
          </w:p>
        </w:tc>
        <w:tc>
          <w:tcPr>
            <w:tcW w:w="0" w:type="auto"/>
          </w:tcPr>
          <w:p w14:paraId="536C3D47" w14:textId="77777777" w:rsidR="00697045" w:rsidRPr="004D7AFD" w:rsidRDefault="00000000">
            <w:pPr>
              <w:pStyle w:val="Compact"/>
              <w:jc w:val="right"/>
              <w:rPr>
                <w:rFonts w:cs="Times New Roman"/>
              </w:rPr>
            </w:pPr>
            <w:r w:rsidRPr="004D7AFD">
              <w:rPr>
                <w:rFonts w:cs="Times New Roman"/>
              </w:rPr>
              <w:t>0.011</w:t>
            </w:r>
          </w:p>
        </w:tc>
        <w:tc>
          <w:tcPr>
            <w:tcW w:w="0" w:type="auto"/>
          </w:tcPr>
          <w:p w14:paraId="7A77C067" w14:textId="77777777" w:rsidR="00697045" w:rsidRPr="004D7AFD" w:rsidRDefault="00000000">
            <w:pPr>
              <w:pStyle w:val="Compact"/>
              <w:jc w:val="right"/>
              <w:rPr>
                <w:rFonts w:cs="Times New Roman"/>
              </w:rPr>
            </w:pPr>
            <w:r w:rsidRPr="004D7AFD">
              <w:rPr>
                <w:rFonts w:cs="Times New Roman"/>
              </w:rPr>
              <w:t>0.024</w:t>
            </w:r>
          </w:p>
        </w:tc>
      </w:tr>
      <w:tr w:rsidR="00697045" w:rsidRPr="004D7AFD" w14:paraId="29F006B4" w14:textId="77777777">
        <w:tc>
          <w:tcPr>
            <w:tcW w:w="0" w:type="auto"/>
          </w:tcPr>
          <w:p w14:paraId="7F48469B" w14:textId="77777777" w:rsidR="00697045" w:rsidRPr="004D7AFD" w:rsidRDefault="00000000">
            <w:pPr>
              <w:pStyle w:val="Compact"/>
              <w:jc w:val="left"/>
              <w:rPr>
                <w:rFonts w:cs="Times New Roman"/>
              </w:rPr>
            </w:pPr>
            <w:r w:rsidRPr="004D7AFD">
              <w:rPr>
                <w:rFonts w:cs="Times New Roman"/>
              </w:rPr>
              <w:t>Type 1: 65</w:t>
            </w:r>
          </w:p>
        </w:tc>
        <w:tc>
          <w:tcPr>
            <w:tcW w:w="0" w:type="auto"/>
          </w:tcPr>
          <w:p w14:paraId="12C99243" w14:textId="77777777" w:rsidR="00697045" w:rsidRPr="004D7AFD" w:rsidRDefault="00000000">
            <w:pPr>
              <w:pStyle w:val="Compact"/>
              <w:jc w:val="right"/>
              <w:rPr>
                <w:rFonts w:cs="Times New Roman"/>
              </w:rPr>
            </w:pPr>
            <w:r w:rsidRPr="004D7AFD">
              <w:rPr>
                <w:rFonts w:cs="Times New Roman"/>
              </w:rPr>
              <w:t>0.223</w:t>
            </w:r>
          </w:p>
        </w:tc>
        <w:tc>
          <w:tcPr>
            <w:tcW w:w="0" w:type="auto"/>
          </w:tcPr>
          <w:p w14:paraId="59FCC1D2" w14:textId="77777777" w:rsidR="00697045" w:rsidRPr="004D7AFD" w:rsidRDefault="00000000">
            <w:pPr>
              <w:pStyle w:val="Compact"/>
              <w:jc w:val="right"/>
              <w:rPr>
                <w:rFonts w:cs="Times New Roman"/>
              </w:rPr>
            </w:pPr>
            <w:r w:rsidRPr="004D7AFD">
              <w:rPr>
                <w:rFonts w:cs="Times New Roman"/>
              </w:rPr>
              <w:t>0.678</w:t>
            </w:r>
          </w:p>
        </w:tc>
        <w:tc>
          <w:tcPr>
            <w:tcW w:w="0" w:type="auto"/>
          </w:tcPr>
          <w:p w14:paraId="50A478F1" w14:textId="77777777" w:rsidR="00697045" w:rsidRPr="004D7AFD" w:rsidRDefault="00000000">
            <w:pPr>
              <w:pStyle w:val="Compact"/>
              <w:jc w:val="right"/>
              <w:rPr>
                <w:rFonts w:cs="Times New Roman"/>
              </w:rPr>
            </w:pPr>
            <w:r w:rsidRPr="004D7AFD">
              <w:rPr>
                <w:rFonts w:cs="Times New Roman"/>
              </w:rPr>
              <w:t>0.547</w:t>
            </w:r>
          </w:p>
        </w:tc>
        <w:tc>
          <w:tcPr>
            <w:tcW w:w="0" w:type="auto"/>
          </w:tcPr>
          <w:p w14:paraId="50C0A5B8" w14:textId="77777777" w:rsidR="00697045" w:rsidRPr="004D7AFD" w:rsidRDefault="00000000">
            <w:pPr>
              <w:pStyle w:val="Compact"/>
              <w:jc w:val="right"/>
              <w:rPr>
                <w:rFonts w:cs="Times New Roman"/>
              </w:rPr>
            </w:pPr>
            <w:r w:rsidRPr="004D7AFD">
              <w:rPr>
                <w:rFonts w:cs="Times New Roman"/>
              </w:rPr>
              <w:t>0.045</w:t>
            </w:r>
          </w:p>
        </w:tc>
        <w:tc>
          <w:tcPr>
            <w:tcW w:w="0" w:type="auto"/>
          </w:tcPr>
          <w:p w14:paraId="09A25A77" w14:textId="77777777" w:rsidR="00697045" w:rsidRPr="004D7AFD" w:rsidRDefault="00000000">
            <w:pPr>
              <w:pStyle w:val="Compact"/>
              <w:jc w:val="right"/>
              <w:rPr>
                <w:rFonts w:cs="Times New Roman"/>
              </w:rPr>
            </w:pPr>
            <w:r w:rsidRPr="004D7AFD">
              <w:rPr>
                <w:rFonts w:cs="Times New Roman"/>
              </w:rPr>
              <w:t>0.095</w:t>
            </w:r>
          </w:p>
        </w:tc>
        <w:tc>
          <w:tcPr>
            <w:tcW w:w="0" w:type="auto"/>
          </w:tcPr>
          <w:p w14:paraId="347539CF" w14:textId="77777777" w:rsidR="00697045" w:rsidRPr="004D7AFD" w:rsidRDefault="00000000">
            <w:pPr>
              <w:pStyle w:val="Compact"/>
              <w:jc w:val="right"/>
              <w:rPr>
                <w:rFonts w:cs="Times New Roman"/>
              </w:rPr>
            </w:pPr>
            <w:r w:rsidRPr="004D7AFD">
              <w:rPr>
                <w:rFonts w:cs="Times New Roman"/>
              </w:rPr>
              <w:t>0.114</w:t>
            </w:r>
          </w:p>
        </w:tc>
        <w:tc>
          <w:tcPr>
            <w:tcW w:w="0" w:type="auto"/>
          </w:tcPr>
          <w:p w14:paraId="103784FB" w14:textId="77777777" w:rsidR="00697045" w:rsidRPr="004D7AFD" w:rsidRDefault="00000000">
            <w:pPr>
              <w:pStyle w:val="Compact"/>
              <w:jc w:val="right"/>
              <w:rPr>
                <w:rFonts w:cs="Times New Roman"/>
              </w:rPr>
            </w:pPr>
            <w:r w:rsidRPr="004D7AFD">
              <w:rPr>
                <w:rFonts w:cs="Times New Roman"/>
              </w:rPr>
              <w:t>0.136</w:t>
            </w:r>
          </w:p>
        </w:tc>
        <w:tc>
          <w:tcPr>
            <w:tcW w:w="0" w:type="auto"/>
          </w:tcPr>
          <w:p w14:paraId="3CF54F4D" w14:textId="77777777" w:rsidR="00697045" w:rsidRPr="004D7AFD" w:rsidRDefault="00000000">
            <w:pPr>
              <w:pStyle w:val="Compact"/>
              <w:jc w:val="right"/>
              <w:rPr>
                <w:rFonts w:cs="Times New Roman"/>
              </w:rPr>
            </w:pPr>
            <w:r w:rsidRPr="004D7AFD">
              <w:rPr>
                <w:rFonts w:cs="Times New Roman"/>
              </w:rPr>
              <w:t>0.164</w:t>
            </w:r>
          </w:p>
        </w:tc>
      </w:tr>
      <w:tr w:rsidR="00697045" w:rsidRPr="004D7AFD" w14:paraId="493AB61C" w14:textId="77777777">
        <w:tc>
          <w:tcPr>
            <w:tcW w:w="0" w:type="auto"/>
          </w:tcPr>
          <w:p w14:paraId="783DF709" w14:textId="77777777" w:rsidR="00697045" w:rsidRPr="004D7AFD" w:rsidRDefault="00000000">
            <w:pPr>
              <w:pStyle w:val="Compact"/>
              <w:jc w:val="left"/>
              <w:rPr>
                <w:rFonts w:cs="Times New Roman"/>
              </w:rPr>
            </w:pPr>
            <w:r w:rsidRPr="004D7AFD">
              <w:rPr>
                <w:rFonts w:cs="Times New Roman"/>
              </w:rPr>
              <w:t>Type 2: 65</w:t>
            </w:r>
          </w:p>
        </w:tc>
        <w:tc>
          <w:tcPr>
            <w:tcW w:w="0" w:type="auto"/>
          </w:tcPr>
          <w:p w14:paraId="7C3B17B1" w14:textId="77777777" w:rsidR="00697045" w:rsidRPr="004D7AFD" w:rsidRDefault="00000000">
            <w:pPr>
              <w:pStyle w:val="Compact"/>
              <w:jc w:val="right"/>
              <w:rPr>
                <w:rFonts w:cs="Times New Roman"/>
              </w:rPr>
            </w:pPr>
            <w:r w:rsidRPr="004D7AFD">
              <w:rPr>
                <w:rFonts w:cs="Times New Roman"/>
              </w:rPr>
              <w:t>0.399</w:t>
            </w:r>
          </w:p>
        </w:tc>
        <w:tc>
          <w:tcPr>
            <w:tcW w:w="0" w:type="auto"/>
          </w:tcPr>
          <w:p w14:paraId="0208D239" w14:textId="77777777" w:rsidR="00697045" w:rsidRPr="004D7AFD" w:rsidRDefault="00000000">
            <w:pPr>
              <w:pStyle w:val="Compact"/>
              <w:jc w:val="right"/>
              <w:rPr>
                <w:rFonts w:cs="Times New Roman"/>
              </w:rPr>
            </w:pPr>
            <w:r w:rsidRPr="004D7AFD">
              <w:rPr>
                <w:rFonts w:cs="Times New Roman"/>
              </w:rPr>
              <w:t>0.812</w:t>
            </w:r>
          </w:p>
        </w:tc>
        <w:tc>
          <w:tcPr>
            <w:tcW w:w="0" w:type="auto"/>
          </w:tcPr>
          <w:p w14:paraId="27757DFF" w14:textId="77777777" w:rsidR="00697045" w:rsidRPr="004D7AFD" w:rsidRDefault="00000000">
            <w:pPr>
              <w:pStyle w:val="Compact"/>
              <w:jc w:val="right"/>
              <w:rPr>
                <w:rFonts w:cs="Times New Roman"/>
              </w:rPr>
            </w:pPr>
            <w:r w:rsidRPr="004D7AFD">
              <w:rPr>
                <w:rFonts w:cs="Times New Roman"/>
              </w:rPr>
              <w:t>0.523</w:t>
            </w:r>
          </w:p>
        </w:tc>
        <w:tc>
          <w:tcPr>
            <w:tcW w:w="0" w:type="auto"/>
          </w:tcPr>
          <w:p w14:paraId="616F5656" w14:textId="77777777" w:rsidR="00697045" w:rsidRPr="004D7AFD" w:rsidRDefault="00000000">
            <w:pPr>
              <w:pStyle w:val="Compact"/>
              <w:jc w:val="right"/>
              <w:rPr>
                <w:rFonts w:cs="Times New Roman"/>
              </w:rPr>
            </w:pPr>
            <w:r w:rsidRPr="004D7AFD">
              <w:rPr>
                <w:rFonts w:cs="Times New Roman"/>
              </w:rPr>
              <w:t>0.061</w:t>
            </w:r>
          </w:p>
        </w:tc>
        <w:tc>
          <w:tcPr>
            <w:tcW w:w="0" w:type="auto"/>
          </w:tcPr>
          <w:p w14:paraId="075002A7" w14:textId="77777777" w:rsidR="00697045" w:rsidRPr="004D7AFD" w:rsidRDefault="00000000">
            <w:pPr>
              <w:pStyle w:val="Compact"/>
              <w:jc w:val="right"/>
              <w:rPr>
                <w:rFonts w:cs="Times New Roman"/>
              </w:rPr>
            </w:pPr>
            <w:r w:rsidRPr="004D7AFD">
              <w:rPr>
                <w:rFonts w:cs="Times New Roman"/>
              </w:rPr>
              <w:t>0.033</w:t>
            </w:r>
          </w:p>
        </w:tc>
        <w:tc>
          <w:tcPr>
            <w:tcW w:w="0" w:type="auto"/>
          </w:tcPr>
          <w:p w14:paraId="2382793E" w14:textId="77777777" w:rsidR="00697045" w:rsidRPr="004D7AFD" w:rsidRDefault="00000000">
            <w:pPr>
              <w:pStyle w:val="Compact"/>
              <w:jc w:val="right"/>
              <w:rPr>
                <w:rFonts w:cs="Times New Roman"/>
              </w:rPr>
            </w:pPr>
            <w:r w:rsidRPr="004D7AFD">
              <w:rPr>
                <w:rFonts w:cs="Times New Roman"/>
              </w:rPr>
              <w:t>0.045</w:t>
            </w:r>
          </w:p>
        </w:tc>
        <w:tc>
          <w:tcPr>
            <w:tcW w:w="0" w:type="auto"/>
          </w:tcPr>
          <w:p w14:paraId="5F71F851" w14:textId="77777777" w:rsidR="00697045" w:rsidRPr="004D7AFD" w:rsidRDefault="00000000">
            <w:pPr>
              <w:pStyle w:val="Compact"/>
              <w:jc w:val="right"/>
              <w:rPr>
                <w:rFonts w:cs="Times New Roman"/>
              </w:rPr>
            </w:pPr>
            <w:r w:rsidRPr="004D7AFD">
              <w:rPr>
                <w:rFonts w:cs="Times New Roman"/>
              </w:rPr>
              <w:t>0.045</w:t>
            </w:r>
          </w:p>
        </w:tc>
        <w:tc>
          <w:tcPr>
            <w:tcW w:w="0" w:type="auto"/>
          </w:tcPr>
          <w:p w14:paraId="32502F7E" w14:textId="77777777" w:rsidR="00697045" w:rsidRPr="004D7AFD" w:rsidRDefault="00000000">
            <w:pPr>
              <w:pStyle w:val="Compact"/>
              <w:jc w:val="right"/>
              <w:rPr>
                <w:rFonts w:cs="Times New Roman"/>
              </w:rPr>
            </w:pPr>
            <w:r w:rsidRPr="004D7AFD">
              <w:rPr>
                <w:rFonts w:cs="Times New Roman"/>
              </w:rPr>
              <w:t>0.082</w:t>
            </w:r>
          </w:p>
        </w:tc>
      </w:tr>
      <w:tr w:rsidR="00697045" w:rsidRPr="004D7AFD" w14:paraId="2A429071" w14:textId="77777777">
        <w:tc>
          <w:tcPr>
            <w:tcW w:w="0" w:type="auto"/>
          </w:tcPr>
          <w:p w14:paraId="6C6938FF" w14:textId="77777777" w:rsidR="00697045" w:rsidRPr="004D7AFD" w:rsidRDefault="00000000">
            <w:pPr>
              <w:pStyle w:val="Compact"/>
              <w:jc w:val="left"/>
              <w:rPr>
                <w:rFonts w:cs="Times New Roman"/>
              </w:rPr>
            </w:pPr>
            <w:r w:rsidRPr="004D7AFD">
              <w:rPr>
                <w:rFonts w:cs="Times New Roman"/>
              </w:rPr>
              <w:t>Type 3: 65</w:t>
            </w:r>
          </w:p>
        </w:tc>
        <w:tc>
          <w:tcPr>
            <w:tcW w:w="0" w:type="auto"/>
          </w:tcPr>
          <w:p w14:paraId="1BBC6CE6" w14:textId="77777777" w:rsidR="00697045" w:rsidRPr="004D7AFD" w:rsidRDefault="00000000">
            <w:pPr>
              <w:pStyle w:val="Compact"/>
              <w:jc w:val="right"/>
              <w:rPr>
                <w:rFonts w:cs="Times New Roman"/>
              </w:rPr>
            </w:pPr>
            <w:r w:rsidRPr="004D7AFD">
              <w:rPr>
                <w:rFonts w:cs="Times New Roman"/>
              </w:rPr>
              <w:t>0.532</w:t>
            </w:r>
          </w:p>
        </w:tc>
        <w:tc>
          <w:tcPr>
            <w:tcW w:w="0" w:type="auto"/>
          </w:tcPr>
          <w:p w14:paraId="26AA7A83" w14:textId="77777777" w:rsidR="00697045" w:rsidRPr="004D7AFD" w:rsidRDefault="00000000">
            <w:pPr>
              <w:pStyle w:val="Compact"/>
              <w:jc w:val="right"/>
              <w:rPr>
                <w:rFonts w:cs="Times New Roman"/>
              </w:rPr>
            </w:pPr>
            <w:r w:rsidRPr="004D7AFD">
              <w:rPr>
                <w:rFonts w:cs="Times New Roman"/>
              </w:rPr>
              <w:t>0.796</w:t>
            </w:r>
          </w:p>
        </w:tc>
        <w:tc>
          <w:tcPr>
            <w:tcW w:w="0" w:type="auto"/>
          </w:tcPr>
          <w:p w14:paraId="752ACDF3" w14:textId="77777777" w:rsidR="00697045" w:rsidRPr="004D7AFD" w:rsidRDefault="00000000">
            <w:pPr>
              <w:pStyle w:val="Compact"/>
              <w:jc w:val="right"/>
              <w:rPr>
                <w:rFonts w:cs="Times New Roman"/>
              </w:rPr>
            </w:pPr>
            <w:r w:rsidRPr="004D7AFD">
              <w:rPr>
                <w:rFonts w:cs="Times New Roman"/>
              </w:rPr>
              <w:t>0.445</w:t>
            </w:r>
          </w:p>
        </w:tc>
        <w:tc>
          <w:tcPr>
            <w:tcW w:w="0" w:type="auto"/>
          </w:tcPr>
          <w:p w14:paraId="062BE5BB" w14:textId="77777777" w:rsidR="00697045" w:rsidRPr="004D7AFD" w:rsidRDefault="00000000">
            <w:pPr>
              <w:pStyle w:val="Compact"/>
              <w:jc w:val="right"/>
              <w:rPr>
                <w:rFonts w:cs="Times New Roman"/>
              </w:rPr>
            </w:pPr>
            <w:r w:rsidRPr="004D7AFD">
              <w:rPr>
                <w:rFonts w:cs="Times New Roman"/>
              </w:rPr>
              <w:t>0.160</w:t>
            </w:r>
          </w:p>
        </w:tc>
        <w:tc>
          <w:tcPr>
            <w:tcW w:w="0" w:type="auto"/>
          </w:tcPr>
          <w:p w14:paraId="5D18F38D" w14:textId="77777777" w:rsidR="00697045" w:rsidRPr="004D7AFD" w:rsidRDefault="00000000">
            <w:pPr>
              <w:pStyle w:val="Compact"/>
              <w:jc w:val="right"/>
              <w:rPr>
                <w:rFonts w:cs="Times New Roman"/>
              </w:rPr>
            </w:pPr>
            <w:r w:rsidRPr="004D7AFD">
              <w:rPr>
                <w:rFonts w:cs="Times New Roman"/>
              </w:rPr>
              <w:t>0.014</w:t>
            </w:r>
          </w:p>
        </w:tc>
        <w:tc>
          <w:tcPr>
            <w:tcW w:w="0" w:type="auto"/>
          </w:tcPr>
          <w:p w14:paraId="2144400A" w14:textId="77777777" w:rsidR="00697045" w:rsidRPr="004D7AFD" w:rsidRDefault="00000000">
            <w:pPr>
              <w:pStyle w:val="Compact"/>
              <w:jc w:val="right"/>
              <w:rPr>
                <w:rFonts w:cs="Times New Roman"/>
              </w:rPr>
            </w:pPr>
            <w:r w:rsidRPr="004D7AFD">
              <w:rPr>
                <w:rFonts w:cs="Times New Roman"/>
              </w:rPr>
              <w:t>0.023</w:t>
            </w:r>
          </w:p>
        </w:tc>
        <w:tc>
          <w:tcPr>
            <w:tcW w:w="0" w:type="auto"/>
          </w:tcPr>
          <w:p w14:paraId="525994FA" w14:textId="77777777" w:rsidR="00697045" w:rsidRPr="004D7AFD" w:rsidRDefault="00000000">
            <w:pPr>
              <w:pStyle w:val="Compact"/>
              <w:jc w:val="right"/>
              <w:rPr>
                <w:rFonts w:cs="Times New Roman"/>
              </w:rPr>
            </w:pPr>
            <w:r w:rsidRPr="004D7AFD">
              <w:rPr>
                <w:rFonts w:cs="Times New Roman"/>
              </w:rPr>
              <w:t>0.008</w:t>
            </w:r>
          </w:p>
        </w:tc>
        <w:tc>
          <w:tcPr>
            <w:tcW w:w="0" w:type="auto"/>
          </w:tcPr>
          <w:p w14:paraId="51B51063" w14:textId="77777777" w:rsidR="00697045" w:rsidRPr="004D7AFD" w:rsidRDefault="00000000">
            <w:pPr>
              <w:pStyle w:val="Compact"/>
              <w:jc w:val="right"/>
              <w:rPr>
                <w:rFonts w:cs="Times New Roman"/>
              </w:rPr>
            </w:pPr>
            <w:r w:rsidRPr="004D7AFD">
              <w:rPr>
                <w:rFonts w:cs="Times New Roman"/>
              </w:rPr>
              <w:t>0.021</w:t>
            </w:r>
          </w:p>
        </w:tc>
      </w:tr>
      <w:tr w:rsidR="00697045" w:rsidRPr="004D7AFD" w14:paraId="3C77B299" w14:textId="77777777">
        <w:tc>
          <w:tcPr>
            <w:tcW w:w="0" w:type="auto"/>
          </w:tcPr>
          <w:p w14:paraId="56ABF6CC" w14:textId="77777777" w:rsidR="00697045" w:rsidRPr="004D7AFD" w:rsidRDefault="00000000">
            <w:pPr>
              <w:pStyle w:val="Compact"/>
              <w:jc w:val="left"/>
              <w:rPr>
                <w:rFonts w:cs="Times New Roman"/>
              </w:rPr>
            </w:pPr>
            <w:r w:rsidRPr="004D7AFD">
              <w:rPr>
                <w:rFonts w:cs="Times New Roman"/>
              </w:rPr>
              <w:t>Type 4: 65</w:t>
            </w:r>
          </w:p>
        </w:tc>
        <w:tc>
          <w:tcPr>
            <w:tcW w:w="0" w:type="auto"/>
          </w:tcPr>
          <w:p w14:paraId="1E27CF58" w14:textId="77777777" w:rsidR="00697045" w:rsidRPr="004D7AFD" w:rsidRDefault="00000000">
            <w:pPr>
              <w:pStyle w:val="Compact"/>
              <w:jc w:val="right"/>
              <w:rPr>
                <w:rFonts w:cs="Times New Roman"/>
              </w:rPr>
            </w:pPr>
            <w:r w:rsidRPr="004D7AFD">
              <w:rPr>
                <w:rFonts w:cs="Times New Roman"/>
              </w:rPr>
              <w:t>0.386</w:t>
            </w:r>
          </w:p>
        </w:tc>
        <w:tc>
          <w:tcPr>
            <w:tcW w:w="0" w:type="auto"/>
          </w:tcPr>
          <w:p w14:paraId="784A37A2" w14:textId="77777777" w:rsidR="00697045" w:rsidRPr="004D7AFD" w:rsidRDefault="00000000">
            <w:pPr>
              <w:pStyle w:val="Compact"/>
              <w:jc w:val="right"/>
              <w:rPr>
                <w:rFonts w:cs="Times New Roman"/>
              </w:rPr>
            </w:pPr>
            <w:r w:rsidRPr="004D7AFD">
              <w:rPr>
                <w:rFonts w:cs="Times New Roman"/>
              </w:rPr>
              <w:t>0.759</w:t>
            </w:r>
          </w:p>
        </w:tc>
        <w:tc>
          <w:tcPr>
            <w:tcW w:w="0" w:type="auto"/>
          </w:tcPr>
          <w:p w14:paraId="52454BCB" w14:textId="77777777" w:rsidR="00697045" w:rsidRPr="004D7AFD" w:rsidRDefault="00000000">
            <w:pPr>
              <w:pStyle w:val="Compact"/>
              <w:jc w:val="right"/>
              <w:rPr>
                <w:rFonts w:cs="Times New Roman"/>
              </w:rPr>
            </w:pPr>
            <w:r w:rsidRPr="004D7AFD">
              <w:rPr>
                <w:rFonts w:cs="Times New Roman"/>
              </w:rPr>
              <w:t>0.544</w:t>
            </w:r>
          </w:p>
        </w:tc>
        <w:tc>
          <w:tcPr>
            <w:tcW w:w="0" w:type="auto"/>
          </w:tcPr>
          <w:p w14:paraId="47799405" w14:textId="77777777" w:rsidR="00697045" w:rsidRPr="004D7AFD" w:rsidRDefault="00000000">
            <w:pPr>
              <w:pStyle w:val="Compact"/>
              <w:jc w:val="right"/>
              <w:rPr>
                <w:rFonts w:cs="Times New Roman"/>
              </w:rPr>
            </w:pPr>
            <w:r w:rsidRPr="004D7AFD">
              <w:rPr>
                <w:rFonts w:cs="Times New Roman"/>
              </w:rPr>
              <w:t>0.137</w:t>
            </w:r>
          </w:p>
        </w:tc>
        <w:tc>
          <w:tcPr>
            <w:tcW w:w="0" w:type="auto"/>
          </w:tcPr>
          <w:p w14:paraId="1E306586" w14:textId="77777777" w:rsidR="00697045" w:rsidRPr="004D7AFD" w:rsidRDefault="00000000">
            <w:pPr>
              <w:pStyle w:val="Compact"/>
              <w:jc w:val="right"/>
              <w:rPr>
                <w:rFonts w:cs="Times New Roman"/>
              </w:rPr>
            </w:pPr>
            <w:r w:rsidRPr="004D7AFD">
              <w:rPr>
                <w:rFonts w:cs="Times New Roman"/>
              </w:rPr>
              <w:t>0.044</w:t>
            </w:r>
          </w:p>
        </w:tc>
        <w:tc>
          <w:tcPr>
            <w:tcW w:w="0" w:type="auto"/>
          </w:tcPr>
          <w:p w14:paraId="41B39A20" w14:textId="77777777" w:rsidR="00697045" w:rsidRPr="004D7AFD" w:rsidRDefault="00000000">
            <w:pPr>
              <w:pStyle w:val="Compact"/>
              <w:jc w:val="right"/>
              <w:rPr>
                <w:rFonts w:cs="Times New Roman"/>
              </w:rPr>
            </w:pPr>
            <w:r w:rsidRPr="004D7AFD">
              <w:rPr>
                <w:rFonts w:cs="Times New Roman"/>
              </w:rPr>
              <w:t>0.061</w:t>
            </w:r>
          </w:p>
        </w:tc>
        <w:tc>
          <w:tcPr>
            <w:tcW w:w="0" w:type="auto"/>
          </w:tcPr>
          <w:p w14:paraId="222C8C4D" w14:textId="77777777" w:rsidR="00697045" w:rsidRPr="004D7AFD" w:rsidRDefault="00000000">
            <w:pPr>
              <w:pStyle w:val="Compact"/>
              <w:jc w:val="right"/>
              <w:rPr>
                <w:rFonts w:cs="Times New Roman"/>
              </w:rPr>
            </w:pPr>
            <w:r w:rsidRPr="004D7AFD">
              <w:rPr>
                <w:rFonts w:cs="Times New Roman"/>
              </w:rPr>
              <w:t>0.025</w:t>
            </w:r>
          </w:p>
        </w:tc>
        <w:tc>
          <w:tcPr>
            <w:tcW w:w="0" w:type="auto"/>
          </w:tcPr>
          <w:p w14:paraId="220F352D" w14:textId="77777777" w:rsidR="00697045" w:rsidRPr="004D7AFD" w:rsidRDefault="00000000">
            <w:pPr>
              <w:pStyle w:val="Compact"/>
              <w:jc w:val="right"/>
              <w:rPr>
                <w:rFonts w:cs="Times New Roman"/>
              </w:rPr>
            </w:pPr>
            <w:r w:rsidRPr="004D7AFD">
              <w:rPr>
                <w:rFonts w:cs="Times New Roman"/>
              </w:rPr>
              <w:t>0.044</w:t>
            </w:r>
          </w:p>
        </w:tc>
      </w:tr>
    </w:tbl>
    <w:bookmarkEnd w:id="37"/>
    <w:p w14:paraId="570B7AB6" w14:textId="77777777" w:rsidR="00697045" w:rsidRPr="004D7AFD" w:rsidRDefault="00000000">
      <w:pPr>
        <w:pStyle w:val="BodyText"/>
        <w:rPr>
          <w:rFonts w:cs="Times New Roman"/>
        </w:rPr>
      </w:pPr>
      <w:r w:rsidRPr="004D7AFD">
        <w:rPr>
          <w:rFonts w:cs="Times New Roman"/>
        </w:rPr>
        <w:t xml:space="preserve">Consider public policies that are able to improve childhood factors and later life health behaviors. Parameter estimates in </w:t>
      </w:r>
      <w:hyperlink w:anchor="tbl-table10">
        <w:r w:rsidRPr="004D7AFD">
          <w:rPr>
            <w:rStyle w:val="Hyperlink"/>
            <w:rFonts w:cs="Times New Roman"/>
          </w:rPr>
          <w:t>Table 6</w:t>
        </w:r>
      </w:hyperlink>
      <w:r w:rsidRPr="004D7AFD">
        <w:rPr>
          <w:rFonts w:cs="Times New Roman"/>
        </w:rPr>
        <w:t xml:space="preserve"> indicate that for white males of normal health status at age </w:t>
      </w:r>
      <m:oMath>
        <m:r>
          <w:rPr>
            <w:rFonts w:ascii="Cambria Math" w:hAnsi="Cambria Math" w:cs="Times New Roman"/>
          </w:rPr>
          <m:t>51</m:t>
        </m:r>
      </m:oMath>
      <w:r w:rsidRPr="004D7AFD">
        <w:rPr>
          <w:rFonts w:cs="Times New Roman"/>
        </w:rPr>
        <w:t xml:space="preserve">, the probability of getting onto the disability rolls by age </w:t>
      </w:r>
      <m:oMath>
        <m:r>
          <w:rPr>
            <w:rFonts w:ascii="Cambria Math" w:hAnsi="Cambria Math" w:cs="Times New Roman"/>
          </w:rPr>
          <m:t>65</m:t>
        </m:r>
      </m:oMath>
      <w:r w:rsidRPr="004D7AFD">
        <w:rPr>
          <w:rFonts w:cs="Times New Roman"/>
        </w:rPr>
        <w:t>, estimated as 0.095 for those with disadvantaged childhoods and poor health practices (Type 1), is reduced to 0.033 for those with advantaged childhoods and poor health practices (Type 2), reduced still farther to 0.014 for those with both advantaged childhoods and good health practices (type 3) and reduced to 0.044 for those with disadvantaged childhoods and good health practices (type 4).</w:t>
      </w:r>
    </w:p>
    <w:p w14:paraId="6E6F7DDE" w14:textId="77777777" w:rsidR="00697045" w:rsidRPr="004D7AFD" w:rsidRDefault="00000000">
      <w:pPr>
        <w:pStyle w:val="BodyText"/>
        <w:rPr>
          <w:rFonts w:cs="Times New Roman"/>
        </w:rPr>
      </w:pPr>
      <w:r w:rsidRPr="004D7AFD">
        <w:rPr>
          <w:rFonts w:cs="Times New Roman"/>
        </w:rPr>
        <w:lastRenderedPageBreak/>
        <w:t xml:space="preserve">Similarly, for white males of diseased health status at age </w:t>
      </w:r>
      <m:oMath>
        <m:r>
          <w:rPr>
            <w:rFonts w:ascii="Cambria Math" w:hAnsi="Cambria Math" w:cs="Times New Roman"/>
          </w:rPr>
          <m:t>51</m:t>
        </m:r>
      </m:oMath>
      <w:r w:rsidRPr="004D7AFD">
        <w:rPr>
          <w:rFonts w:cs="Times New Roman"/>
        </w:rPr>
        <w:t xml:space="preserve">, the probability of getting onto the disability rolls by age </w:t>
      </w:r>
      <m:oMath>
        <m:r>
          <w:rPr>
            <w:rFonts w:ascii="Cambria Math" w:hAnsi="Cambria Math" w:cs="Times New Roman"/>
          </w:rPr>
          <m:t>65</m:t>
        </m:r>
      </m:oMath>
      <w:r w:rsidRPr="004D7AFD">
        <w:rPr>
          <w:rFonts w:cs="Times New Roman"/>
        </w:rPr>
        <w:t>, is estimated as 0.114 for those with disadvantaged childhoods and poor health practices (Type 1), is reduced to 0.045 for those with advantaged childhoods and poor health practices (Type 2), reduced still farther to 0.023 for those with both advantaged childhoods and good health practices (type 3) and reduced to 0.061 for those with disadvantaged childhoods and good health practices (type 4).</w:t>
      </w:r>
    </w:p>
    <w:p w14:paraId="463CA11D" w14:textId="77777777" w:rsidR="00697045" w:rsidRPr="004D7AFD" w:rsidRDefault="00000000">
      <w:pPr>
        <w:pStyle w:val="BodyText"/>
        <w:rPr>
          <w:rFonts w:cs="Times New Roman"/>
        </w:rPr>
      </w:pPr>
      <w:hyperlink w:anchor="tbl-table10">
        <w:r w:rsidRPr="004D7AFD">
          <w:rPr>
            <w:rStyle w:val="Hyperlink"/>
            <w:rFonts w:cs="Times New Roman"/>
          </w:rPr>
          <w:t>Table 6</w:t>
        </w:r>
      </w:hyperlink>
      <w:r w:rsidRPr="004D7AFD">
        <w:rPr>
          <w:rFonts w:cs="Times New Roman"/>
        </w:rPr>
        <w:t xml:space="preserve"> indicates similar patterns for the event of death before encountering disability by age </w:t>
      </w:r>
      <m:oMath>
        <m:r>
          <w:rPr>
            <w:rFonts w:ascii="Cambria Math" w:hAnsi="Cambria Math" w:cs="Times New Roman"/>
          </w:rPr>
          <m:t>65</m:t>
        </m:r>
      </m:oMath>
      <w:r w:rsidRPr="004D7AFD">
        <w:rPr>
          <w:rFonts w:cs="Times New Roman"/>
        </w:rPr>
        <w:t>.</w:t>
      </w:r>
    </w:p>
    <w:p w14:paraId="1EFDABEE" w14:textId="77777777" w:rsidR="00697045" w:rsidRPr="004D7AFD" w:rsidRDefault="00000000">
      <w:pPr>
        <w:pStyle w:val="BodyText"/>
        <w:rPr>
          <w:rFonts w:cs="Times New Roman"/>
        </w:rPr>
      </w:pPr>
      <w:r w:rsidRPr="004D7AFD">
        <w:rPr>
          <w:rFonts w:cs="Times New Roman"/>
        </w:rPr>
        <w:t>It is important to observe that the above reductions in disability enrollment rates from introduction of public policies are after taking into account that the policies would reduce the death rates, and thus increase the population susceptible to disability incidence after the introduction of such policies.</w:t>
      </w:r>
    </w:p>
    <w:p w14:paraId="04B98D80" w14:textId="77777777" w:rsidR="00697045" w:rsidRPr="004D7AFD" w:rsidRDefault="00000000">
      <w:pPr>
        <w:pStyle w:val="BodyText"/>
        <w:rPr>
          <w:rFonts w:cs="Times New Roman"/>
        </w:rPr>
      </w:pPr>
      <w:r w:rsidRPr="004D7AFD">
        <w:rPr>
          <w:rFonts w:cs="Times New Roman"/>
        </w:rPr>
        <w:t>The improvements in health practices will also improve the scores of the biomarkers and thus the above improvements in probabilities will be even larger.</w:t>
      </w:r>
    </w:p>
    <w:p w14:paraId="5D761847" w14:textId="77777777" w:rsidR="00697045" w:rsidRPr="004D7AFD" w:rsidRDefault="00000000">
      <w:pPr>
        <w:pStyle w:val="BodyText"/>
        <w:rPr>
          <w:rFonts w:cs="Times New Roman"/>
        </w:rPr>
      </w:pPr>
      <w:r w:rsidRPr="004D7AFD">
        <w:rPr>
          <w:rFonts w:cs="Times New Roman"/>
        </w:rPr>
        <w:t>Furthermore, the public policies that turn a type 1 individual to a type 2 individual will also improve the likelihood of having normal health in the early middle ages from 0.313 to 0.346. This will also additionally reduce the probability of death before experiencing disability and the probability of experiencing disability even further.</w:t>
      </w:r>
    </w:p>
    <w:p w14:paraId="445DA2DA" w14:textId="77777777" w:rsidR="004D7AFD" w:rsidRDefault="004D7AFD">
      <w:pPr>
        <w:rPr>
          <w:rFonts w:cs="Times New Roman"/>
          <w:i/>
        </w:rPr>
      </w:pPr>
      <w:bookmarkStart w:id="38" w:name="tbl-table11a"/>
      <w:r>
        <w:rPr>
          <w:rFonts w:cs="Times New Roman"/>
        </w:rPr>
        <w:br w:type="page"/>
      </w:r>
    </w:p>
    <w:p w14:paraId="168E3F27" w14:textId="3C63310D" w:rsidR="00697045" w:rsidRPr="004D7AFD" w:rsidRDefault="00000000">
      <w:pPr>
        <w:pStyle w:val="TableCaption"/>
        <w:rPr>
          <w:rFonts w:cs="Times New Roman"/>
        </w:rPr>
      </w:pPr>
      <w:r w:rsidRPr="004D7AFD">
        <w:rPr>
          <w:rFonts w:cs="Times New Roman"/>
        </w:rPr>
        <w:lastRenderedPageBreak/>
        <w:t>Table 7: Probability of getting onto the disability rolls and death by age 65 for various gender-race group and childhood-types.</w:t>
      </w:r>
    </w:p>
    <w:tbl>
      <w:tblPr>
        <w:tblW w:w="0" w:type="auto"/>
        <w:tblLook w:val="0000" w:firstRow="0" w:lastRow="0" w:firstColumn="0" w:lastColumn="0" w:noHBand="0" w:noVBand="0"/>
        <w:tblCaption w:val="Table 7: Probability of getting onto the disability rolls and death by age 65 for various gender-race group and childhood-types."/>
      </w:tblPr>
      <w:tblGrid>
        <w:gridCol w:w="1938"/>
        <w:gridCol w:w="778"/>
        <w:gridCol w:w="710"/>
        <w:gridCol w:w="710"/>
        <w:gridCol w:w="710"/>
        <w:gridCol w:w="765"/>
        <w:gridCol w:w="765"/>
        <w:gridCol w:w="710"/>
        <w:gridCol w:w="710"/>
        <w:gridCol w:w="355"/>
        <w:gridCol w:w="355"/>
      </w:tblGrid>
      <w:tr w:rsidR="00697045" w:rsidRPr="004D7AFD" w14:paraId="6BE1CB2E" w14:textId="77777777">
        <w:trPr>
          <w:gridAfter w:val="1"/>
        </w:trPr>
        <w:tc>
          <w:tcPr>
            <w:tcW w:w="0" w:type="auto"/>
            <w:gridSpan w:val="10"/>
          </w:tcPr>
          <w:p w14:paraId="6A196919" w14:textId="77777777" w:rsidR="00697045" w:rsidRPr="004D7AFD" w:rsidRDefault="00697045">
            <w:pPr>
              <w:pStyle w:val="Compact"/>
              <w:rPr>
                <w:rFonts w:cs="Times New Roman"/>
              </w:rPr>
            </w:pPr>
          </w:p>
        </w:tc>
      </w:tr>
      <w:bookmarkEnd w:id="38"/>
      <w:tr w:rsidR="00697045" w:rsidRPr="004D7AFD" w14:paraId="3212F080"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03CA18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b/>
                <w:color w:val="000000"/>
                <w:sz w:val="22"/>
                <w:szCs w:val="22"/>
              </w:rPr>
              <w:t>group</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10D1DE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b/>
                <w:color w:val="000000"/>
                <w:sz w:val="22"/>
                <w:szCs w:val="22"/>
              </w:rPr>
              <w:t>Type</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F40A4F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1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E05A29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2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93AAB2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1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AC406F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2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D4D680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1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D9DF85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2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04DFDB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1 → 4</w:t>
            </w:r>
          </w:p>
        </w:tc>
        <w:tc>
          <w:tcPr>
            <w:tcW w:w="0" w:type="auto"/>
            <w:gridSpan w:val="2"/>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B0B784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b/>
                <w:color w:val="000000"/>
                <w:sz w:val="22"/>
                <w:szCs w:val="22"/>
              </w:rPr>
              <w:t>2 → 4</w:t>
            </w:r>
          </w:p>
        </w:tc>
      </w:tr>
      <w:tr w:rsidR="00697045" w:rsidRPr="004D7AFD" w14:paraId="35A9F073" w14:textId="77777777">
        <w:tblPrEx>
          <w:jc w:val="center"/>
          <w:tblLook w:val="0420" w:firstRow="1" w:lastRow="0" w:firstColumn="0" w:lastColumn="0" w:noHBand="0" w:noVBand="1"/>
        </w:tblPrEx>
        <w:trPr>
          <w:jc w:val="center"/>
        </w:trPr>
        <w:tc>
          <w:tcPr>
            <w:tcW w:w="0" w:type="auto"/>
            <w:vMerge w:val="restart"/>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BA11FC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b/>
                <w:color w:val="000000"/>
                <w:sz w:val="22"/>
                <w:szCs w:val="22"/>
              </w:rPr>
              <w:t>White Male</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F4C5DB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1</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FB3580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0.22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E458AC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0.676</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EA5DB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0.547</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619483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0.0443</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2F5063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0.0967</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CFCD69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0.115</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C0E11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0.136</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4888D8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0.165</w:t>
            </w:r>
          </w:p>
        </w:tc>
      </w:tr>
      <w:tr w:rsidR="00697045" w:rsidRPr="004D7AFD" w14:paraId="17DEE062"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A2A0B"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0ABBFA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7E4A42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0.397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97ABD1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0.811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B41EE6"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0.525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D1242B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0.061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095FBD6"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0.033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4EB11A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911873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0.046</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07C33D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0.083</w:t>
            </w:r>
          </w:p>
        </w:tc>
      </w:tr>
      <w:tr w:rsidR="00697045" w:rsidRPr="004D7AFD" w14:paraId="2A8B9202"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2D86E"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45E31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1255E6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0.530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1A3F4E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0.797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9F821E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0.448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F3A8EA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0.159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7EE1B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0.014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2A56BB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F231817"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0.008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05FE97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0.021</w:t>
            </w:r>
          </w:p>
        </w:tc>
      </w:tr>
      <w:tr w:rsidR="00697045" w:rsidRPr="004D7AFD" w14:paraId="602485B7"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D173D"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3F21680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4</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FA1ECA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0.383</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20191E7"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0.759</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146F18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0.546</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69ABD09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0.135 </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F6ECCF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0.045 </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8BAB0F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0.061</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D24EB3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0.026</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C5FBEB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0.045</w:t>
            </w:r>
          </w:p>
        </w:tc>
      </w:tr>
      <w:tr w:rsidR="00697045" w:rsidRPr="004D7AFD" w14:paraId="4E5ECAEF" w14:textId="77777777">
        <w:tblPrEx>
          <w:jc w:val="center"/>
          <w:tblLook w:val="0420" w:firstRow="1" w:lastRow="0" w:firstColumn="0" w:lastColumn="0" w:noHBand="0" w:noVBand="1"/>
        </w:tblPrEx>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A946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b/>
                <w:color w:val="000000"/>
                <w:sz w:val="22"/>
                <w:szCs w:val="22"/>
              </w:rPr>
              <w:t>Non-White Male</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DB8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1</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0C49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0.264</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2E82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0.673</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1712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0.488</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62D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0.041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07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0.078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A39E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0.120</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D2D3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0.170</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D4577"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0.167</w:t>
            </w:r>
          </w:p>
        </w:tc>
      </w:tr>
      <w:tr w:rsidR="00697045" w:rsidRPr="004D7AFD" w14:paraId="7AC911A3"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C1176"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69F26"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4795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57F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BC2F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3AA4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0.055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8BEE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0.026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BFC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E16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0.053</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3237"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0.084</w:t>
            </w:r>
          </w:p>
        </w:tc>
      </w:tr>
      <w:tr w:rsidR="00697045" w:rsidRPr="004D7AFD" w14:paraId="6DB29A2C"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69A1F"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4D2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3023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800C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25FC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0.393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149C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0.145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4EF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0.011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7E9A6"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3F7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0.009</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F6D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0.021</w:t>
            </w:r>
          </w:p>
        </w:tc>
      </w:tr>
      <w:tr w:rsidR="00697045" w:rsidRPr="004D7AFD" w14:paraId="01F20B70"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798D"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A3101E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4</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52288C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0.445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8E62B4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0.765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117661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0.490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9B345C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0.126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D88FEE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0.036 </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BA8617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0.064</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5B0529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0.029</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85C8F4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0.046</w:t>
            </w:r>
          </w:p>
        </w:tc>
      </w:tr>
      <w:tr w:rsidR="00697045" w:rsidRPr="004D7AFD" w14:paraId="5A8919F9" w14:textId="77777777">
        <w:tblPrEx>
          <w:jc w:val="center"/>
          <w:tblLook w:val="0420" w:firstRow="1" w:lastRow="0" w:firstColumn="0" w:lastColumn="0" w:noHBand="0" w:noVBand="1"/>
        </w:tblPrEx>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DAD7D56"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b/>
                <w:color w:val="000000"/>
                <w:sz w:val="22"/>
                <w:szCs w:val="22"/>
              </w:rPr>
              <w:t>White Female</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3AE282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1</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B4858B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0.196</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7F019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0.742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06D241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0.617</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60F957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0.034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E719F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0.090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2DC7AC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0.110</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F5F71A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0.098</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B98A89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0.113</w:t>
            </w:r>
          </w:p>
        </w:tc>
      </w:tr>
      <w:tr w:rsidR="00697045" w:rsidRPr="004D7AFD" w14:paraId="2F8E2216"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65360"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5A9759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112363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0.360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2B7CE6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0.856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07706A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0.577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46694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0.045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42201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0.030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D4E5A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67AD0F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0.033</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0B0894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0.056</w:t>
            </w:r>
          </w:p>
        </w:tc>
      </w:tr>
      <w:tr w:rsidR="00697045" w:rsidRPr="004D7AFD" w14:paraId="705BD27B"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E648E"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5248F1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6939C1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0.486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7D6D8C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0.844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846D7E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0.495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0D6A18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0.120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5005AC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0.013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9A6E20E"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23AE63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0.006</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89D94A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0.014</w:t>
            </w:r>
          </w:p>
        </w:tc>
      </w:tr>
      <w:tr w:rsidR="00697045" w:rsidRPr="004D7AFD" w14:paraId="1A88D360"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AB67"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4E0A457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4</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B18B9A7"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0.339</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7E97356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0.810</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09E976E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0.602</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C827F5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0.101 </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155AF74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0.041 </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5DCD491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0.058</w:t>
            </w:r>
          </w:p>
        </w:tc>
        <w:tc>
          <w:tcPr>
            <w:tcW w:w="0" w:type="auto"/>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277AD41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0.018</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CCCCFF"/>
            <w:tcMar>
              <w:top w:w="0" w:type="dxa"/>
              <w:left w:w="0" w:type="dxa"/>
              <w:bottom w:w="0" w:type="dxa"/>
              <w:right w:w="0" w:type="dxa"/>
            </w:tcMar>
          </w:tcPr>
          <w:p w14:paraId="2E269E0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0.030</w:t>
            </w:r>
          </w:p>
        </w:tc>
      </w:tr>
      <w:tr w:rsidR="00697045" w:rsidRPr="004D7AFD" w14:paraId="3F944420" w14:textId="77777777">
        <w:tblPrEx>
          <w:jc w:val="center"/>
          <w:tblLook w:val="0420" w:firstRow="1" w:lastRow="0" w:firstColumn="0" w:lastColumn="0" w:noHBand="0" w:noVBand="1"/>
        </w:tblPrEx>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CE2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b/>
                <w:color w:val="000000"/>
                <w:sz w:val="22"/>
                <w:szCs w:val="22"/>
              </w:rPr>
              <w:t>Non-White Female</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DA66"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1</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0520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0.247</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86BC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0.739</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8DD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0.557</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E45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0.032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1C8A2"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0.074 </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ACA9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0.115</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DCB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0.122</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6241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0.114</w:t>
            </w:r>
          </w:p>
        </w:tc>
      </w:tr>
      <w:tr w:rsidR="00697045" w:rsidRPr="004D7AFD" w14:paraId="401DB81D"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6666D"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4458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3565"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9260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C4A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D62FC"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0.042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B4F97"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0.024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91904"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17B08"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0.038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9ADC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0.056</w:t>
            </w:r>
          </w:p>
        </w:tc>
      </w:tr>
      <w:tr w:rsidR="00697045" w:rsidRPr="004D7AFD" w14:paraId="7A01CAD9"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D092D"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D89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3F3F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46C3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F12A"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8E16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0.109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094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0984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DC1D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0.006</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13E5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0.015</w:t>
            </w:r>
          </w:p>
        </w:tc>
      </w:tr>
      <w:tr w:rsidR="00697045" w:rsidRPr="004D7AFD" w14:paraId="43647CC2" w14:textId="77777777">
        <w:tblPrEx>
          <w:jc w:val="center"/>
          <w:tblLook w:val="0420" w:firstRow="1" w:lastRow="0" w:firstColumn="0" w:lastColumn="0" w:noHBand="0" w:noVBand="1"/>
        </w:tblPrEx>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FE40A" w14:textId="77777777" w:rsidR="00697045" w:rsidRPr="004D7AFD" w:rsidRDefault="00697045">
            <w:pPr>
              <w:pBdr>
                <w:top w:val="none" w:sz="0" w:space="0" w:color="000000"/>
                <w:left w:val="none" w:sz="0" w:space="0" w:color="000000"/>
                <w:bottom w:val="none" w:sz="0" w:space="0" w:color="000000"/>
                <w:right w:val="none" w:sz="0" w:space="0" w:color="000000"/>
              </w:pBdr>
              <w:spacing w:before="100" w:after="100"/>
              <w:ind w:left="100" w:right="100"/>
              <w:rPr>
                <w:rFonts w:cs="Times New Roman"/>
              </w:rPr>
            </w:pP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F6C1B31"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rPr>
                <w:rFonts w:cs="Times New Roman"/>
              </w:rPr>
            </w:pPr>
            <w:r w:rsidRPr="004D7AFD">
              <w:rPr>
                <w:rFonts w:eastAsia="Arial" w:cs="Times New Roman"/>
                <w:color w:val="000000"/>
                <w:sz w:val="22"/>
                <w:szCs w:val="22"/>
              </w:rPr>
              <w:t>Type 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15BEC2F"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0.404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E80A88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0.814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8CF357D"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0.542</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043D773"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0.095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5AD24D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 xml:space="preserve">0.034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E6BA360"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0.060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12676E19"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0.021</w:t>
            </w:r>
          </w:p>
        </w:tc>
        <w:tc>
          <w:tcPr>
            <w:tcW w:w="0" w:type="auto"/>
            <w:gridSpan w:val="2"/>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4F76EDB" w14:textId="77777777" w:rsidR="00697045" w:rsidRPr="004D7AFD" w:rsidRDefault="00000000">
            <w:pPr>
              <w:pBdr>
                <w:top w:val="none" w:sz="0" w:space="0" w:color="000000"/>
                <w:left w:val="none" w:sz="0" w:space="0" w:color="000000"/>
                <w:bottom w:val="none" w:sz="0" w:space="0" w:color="000000"/>
                <w:right w:val="none" w:sz="0" w:space="0" w:color="000000"/>
              </w:pBdr>
              <w:spacing w:before="80" w:after="80"/>
              <w:ind w:left="80" w:right="80"/>
              <w:jc w:val="right"/>
              <w:rPr>
                <w:rFonts w:cs="Times New Roman"/>
              </w:rPr>
            </w:pPr>
            <w:r w:rsidRPr="004D7AFD">
              <w:rPr>
                <w:rFonts w:eastAsia="Arial" w:cs="Times New Roman"/>
                <w:color w:val="000000"/>
                <w:sz w:val="22"/>
                <w:szCs w:val="22"/>
              </w:rPr>
              <w:t>0.031</w:t>
            </w:r>
          </w:p>
        </w:tc>
      </w:tr>
      <w:tr w:rsidR="00697045" w:rsidRPr="004D7AFD" w14:paraId="4F994F6D" w14:textId="77777777">
        <w:tblPrEx>
          <w:jc w:val="center"/>
          <w:tblLook w:val="0420" w:firstRow="1" w:lastRow="0" w:firstColumn="0" w:lastColumn="0" w:noHBand="0" w:noVBand="1"/>
        </w:tblPrEx>
        <w:trPr>
          <w:jc w:val="center"/>
        </w:trPr>
        <w:tc>
          <w:tcPr>
            <w:tcW w:w="0" w:type="auto"/>
            <w:gridSpan w:val="11"/>
            <w:tcBorders>
              <w:top w:val="none" w:sz="0" w:space="0" w:color="000000"/>
              <w:left w:val="none" w:sz="0" w:space="0" w:color="000000"/>
              <w:bottom w:val="single" w:sz="24" w:space="0" w:color="000000"/>
              <w:right w:val="none" w:sz="0" w:space="0" w:color="000000"/>
            </w:tcBorders>
            <w:shd w:val="clear" w:color="auto" w:fill="FFFFFF"/>
            <w:tcMar>
              <w:top w:w="0" w:type="dxa"/>
              <w:left w:w="0" w:type="dxa"/>
              <w:bottom w:w="0" w:type="dxa"/>
              <w:right w:w="0" w:type="dxa"/>
            </w:tcMar>
          </w:tcPr>
          <w:p w14:paraId="0112F6F9" w14:textId="77777777" w:rsidR="00697045" w:rsidRPr="004D7AFD" w:rsidRDefault="00000000">
            <w:pPr>
              <w:pBdr>
                <w:top w:val="none" w:sz="0" w:space="0" w:color="000000"/>
                <w:left w:val="none" w:sz="0" w:space="0" w:color="000000"/>
                <w:bottom w:val="none" w:sz="0" w:space="0" w:color="000000"/>
                <w:right w:val="none" w:sz="0" w:space="0" w:color="000000"/>
              </w:pBdr>
              <w:spacing w:before="120" w:after="120"/>
              <w:ind w:left="120" w:right="120"/>
              <w:rPr>
                <w:rFonts w:cs="Times New Roman"/>
              </w:rPr>
            </w:pPr>
            <w:r w:rsidRPr="004D7AFD">
              <w:rPr>
                <w:rFonts w:eastAsia="Arial" w:cs="Times New Roman"/>
                <w:color w:val="000000"/>
                <w:sz w:val="22"/>
                <w:szCs w:val="22"/>
              </w:rPr>
              <w:t>Source: Author's calculation.</w:t>
            </w:r>
            <w:r w:rsidRPr="004D7AFD">
              <w:rPr>
                <w:rFonts w:eastAsia="Arial" w:cs="Times New Roman"/>
                <w:color w:val="000000"/>
                <w:sz w:val="22"/>
                <w:szCs w:val="22"/>
              </w:rPr>
              <w:br/>
              <w:t>Type 1: Disadvantaged childhoods and  poor health practices.</w:t>
            </w:r>
            <w:r w:rsidRPr="004D7AFD">
              <w:rPr>
                <w:rFonts w:eastAsia="Arial" w:cs="Times New Roman"/>
                <w:color w:val="000000"/>
                <w:sz w:val="22"/>
                <w:szCs w:val="22"/>
              </w:rPr>
              <w:br/>
              <w:t>Type 2: Advantaged childhoods and  poor health practices.</w:t>
            </w:r>
            <w:r w:rsidRPr="004D7AFD">
              <w:rPr>
                <w:rFonts w:eastAsia="Arial" w:cs="Times New Roman"/>
                <w:color w:val="000000"/>
                <w:sz w:val="22"/>
                <w:szCs w:val="22"/>
              </w:rPr>
              <w:br/>
              <w:t xml:space="preserve">Type 3: Advantaged childhoods and  good health practices. </w:t>
            </w:r>
            <w:r w:rsidRPr="004D7AFD">
              <w:rPr>
                <w:rFonts w:eastAsia="Arial" w:cs="Times New Roman"/>
                <w:color w:val="000000"/>
                <w:sz w:val="22"/>
                <w:szCs w:val="22"/>
              </w:rPr>
              <w:br/>
              <w:t>Type 4: Disadvantaged childhoods and  good health practices.</w:t>
            </w:r>
          </w:p>
        </w:tc>
      </w:tr>
    </w:tbl>
    <w:p w14:paraId="4788DF71" w14:textId="77777777" w:rsidR="00697045" w:rsidRPr="004D7AFD" w:rsidRDefault="00000000">
      <w:pPr>
        <w:pStyle w:val="BodyText"/>
        <w:rPr>
          <w:rFonts w:cs="Times New Roman"/>
        </w:rPr>
      </w:pPr>
      <w:r w:rsidRPr="004D7AFD">
        <w:rPr>
          <w:rFonts w:cs="Times New Roman"/>
        </w:rPr>
        <w:t xml:space="preserve">To examine the effects of the above types of policies for other race and sex groups, </w:t>
      </w:r>
      <w:hyperlink w:anchor="tbl-table11a">
        <w:r w:rsidRPr="004D7AFD">
          <w:rPr>
            <w:rStyle w:val="Hyperlink"/>
            <w:rFonts w:cs="Times New Roman"/>
          </w:rPr>
          <w:t>Table 7</w:t>
        </w:r>
      </w:hyperlink>
      <w:r w:rsidRPr="004D7AFD">
        <w:rPr>
          <w:rFonts w:cs="Times New Roman"/>
        </w:rPr>
        <w:t xml:space="preserve"> shows the transition probabilities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d>
          <m:dPr>
            <m:ctrlPr>
              <w:rPr>
                <w:rFonts w:ascii="Cambria Math" w:hAnsi="Cambria Math" w:cs="Times New Roman"/>
              </w:rPr>
            </m:ctrlPr>
          </m:dPr>
          <m:e>
            <m:r>
              <w:rPr>
                <w:rFonts w:ascii="Cambria Math" w:hAnsi="Cambria Math" w:cs="Times New Roman"/>
              </w:rPr>
              <m:t>65</m:t>
            </m:r>
          </m:e>
        </m:d>
      </m:oMath>
      <w:r w:rsidRPr="004D7AFD">
        <w:rPr>
          <w:rFonts w:cs="Times New Roman"/>
        </w:rPr>
        <w:t xml:space="preserve"> for health states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3</m:t>
        </m:r>
        <m:r>
          <m:rPr>
            <m:sty m:val="p"/>
          </m:rPr>
          <w:rPr>
            <w:rFonts w:ascii="Cambria Math" w:hAnsi="Cambria Math" w:cs="Times New Roman"/>
          </w:rPr>
          <m:t>,</m:t>
        </m:r>
        <m:r>
          <w:rPr>
            <w:rFonts w:ascii="Cambria Math" w:hAnsi="Cambria Math" w:cs="Times New Roman"/>
          </w:rPr>
          <m:t>4</m:t>
        </m:r>
      </m:oMath>
      <w:r w:rsidRPr="004D7AFD">
        <w:rPr>
          <w:rFonts w:cs="Times New Roman"/>
        </w:rPr>
        <w:t xml:space="preserve">, by age </w:t>
      </w:r>
      <m:oMath>
        <m:r>
          <w:rPr>
            <w:rFonts w:ascii="Cambria Math" w:hAnsi="Cambria Math" w:cs="Times New Roman"/>
          </w:rPr>
          <m:t>65</m:t>
        </m:r>
      </m:oMath>
      <w:r w:rsidRPr="004D7AFD">
        <w:rPr>
          <w:rFonts w:cs="Times New Roman"/>
        </w:rPr>
        <w:t xml:space="preserve"> for each of the four types of individuals in four gender-race groups. The table shows that the benefits are quite large for all disadvantaged groups. With respect to the probability of getting onto disability and the probability ofdeath by age 65, there are racial and gender gaps: from normal health, whites have higher probabilities than non-whites, and from the diseased health state, non-whites have higher probabilities than whites. Probabilities ofdeath are higher for non-whites than for whites </w:t>
      </w:r>
      <w:r w:rsidRPr="004D7AFD">
        <w:rPr>
          <w:rFonts w:cs="Times New Roman"/>
        </w:rPr>
        <w:lastRenderedPageBreak/>
        <w:t xml:space="preserve">from both health states at any given age. As for gender differences, within each race, females have lower probability of disability and lower probability ofdeath than males from both health states at any given age. The difference in the probability of getting onto disability rolls by age </w:t>
      </w:r>
      <m:oMath>
        <m:r>
          <w:rPr>
            <w:rFonts w:ascii="Cambria Math" w:hAnsi="Cambria Math" w:cs="Times New Roman"/>
          </w:rPr>
          <m:t>65</m:t>
        </m:r>
      </m:oMath>
      <w:r w:rsidRPr="004D7AFD">
        <w:rPr>
          <w:rFonts w:cs="Times New Roman"/>
        </w:rPr>
        <w:t xml:space="preserve"> is noticeable for the non-white male individuals in diseased health states: the probabilities are 0.12 for individuals with disadvantaged childhoods and poor health practices (Type 1), 0.047 for individuals with advantaged childhoods and poor health practices (Type 2), even lower probability 0.024 for individuals with advantaged childhoods and good health practices (Type 3), and 0.064 for individuals with disadvantaged childhoods and good health practices (Type 4).</w:t>
      </w:r>
    </w:p>
    <w:p w14:paraId="68F0C4FF" w14:textId="77777777" w:rsidR="00697045" w:rsidRPr="004D7AFD" w:rsidRDefault="00000000">
      <w:pPr>
        <w:pStyle w:val="BodyText"/>
        <w:rPr>
          <w:rFonts w:cs="Times New Roman"/>
        </w:rPr>
      </w:pPr>
      <w:r w:rsidRPr="004D7AFD">
        <w:rPr>
          <w:rFonts w:cs="Times New Roman"/>
        </w:rPr>
        <w:t xml:space="preserve">Regression coefficient estimates in </w:t>
      </w:r>
      <w:hyperlink w:anchor="tbl-table7">
        <w:r w:rsidRPr="004D7AFD">
          <w:rPr>
            <w:rStyle w:val="Hyperlink"/>
            <w:rFonts w:cs="Times New Roman"/>
          </w:rPr>
          <w:t>Table 3</w:t>
        </w:r>
      </w:hyperlink>
      <w:r w:rsidRPr="004D7AFD">
        <w:rPr>
          <w:rFonts w:cs="Times New Roman"/>
        </w:rPr>
        <w:t xml:space="preserve"> of </w:t>
      </w:r>
      <w:hyperlink w:anchor="sec-sec5-1">
        <w:r w:rsidRPr="004D7AFD">
          <w:rPr>
            <w:rStyle w:val="Hyperlink"/>
            <w:rFonts w:cs="Times New Roman"/>
          </w:rPr>
          <w:t>Section 5.1</w:t>
        </w:r>
      </w:hyperlink>
      <w:r w:rsidRPr="004D7AFD">
        <w:rPr>
          <w:rFonts w:cs="Times New Roman"/>
        </w:rPr>
        <w:t xml:space="preserve"> show that improvement in childhood SES has significant positive effects on childhood health, probability of college completion and probability of normal health in the early middle age. All these in turn have significant effects in lowering the probability of diseases, disability and death along the middle age health pathways. From policy perspective, it is important to examine which factors are relatively more important for cSES. To that end, note that cSES has polychoric correlations with the component variables (all are ordered categorical variables, with higher values mean better condition) as follows: family financial situation = 0.59, family moved for financial reason = 0.49, family usually got financial help during childhood = 0.40, father unemployed during childhood = 0.43, father’s usual occupation during childhood = 0.73, father’s education = 0.95, mother’s education = 0.84.</w:t>
      </w:r>
    </w:p>
    <w:p w14:paraId="77C24765" w14:textId="77777777" w:rsidR="00697045" w:rsidRPr="004D7AFD" w:rsidRDefault="00000000">
      <w:pPr>
        <w:pStyle w:val="BodyText"/>
        <w:rPr>
          <w:rFonts w:cs="Times New Roman"/>
        </w:rPr>
      </w:pPr>
      <w:r w:rsidRPr="004D7AFD">
        <w:rPr>
          <w:rFonts w:cs="Times New Roman"/>
        </w:rPr>
        <w:t>From the estimates we see that the most important factors to improve cSES are policies that help fathers to have steady jobs during their children’s childhood and parents to have higher education. Out of those two factors, policies that make disadvantaged individuals complete college is more important because it has the direct individual effect as it improves the probability one’s attaining College+ education; it also has the intergenerational effect as it makes their children’s cSES improve.</w:t>
      </w:r>
    </w:p>
    <w:p w14:paraId="7339E8F2" w14:textId="77777777" w:rsidR="00697045" w:rsidRPr="004D7AFD" w:rsidRDefault="00000000">
      <w:pPr>
        <w:pStyle w:val="Heading1"/>
        <w:rPr>
          <w:rFonts w:cs="Times New Roman"/>
        </w:rPr>
      </w:pPr>
      <w:bookmarkStart w:id="39" w:name="sec-sec7"/>
      <w:bookmarkEnd w:id="35"/>
      <w:r w:rsidRPr="004D7AFD">
        <w:rPr>
          <w:rFonts w:cs="Times New Roman"/>
        </w:rPr>
        <w:t>Conclusion</w:t>
      </w:r>
    </w:p>
    <w:p w14:paraId="0FAA847A" w14:textId="77777777" w:rsidR="00697045" w:rsidRPr="004D7AFD" w:rsidRDefault="00000000">
      <w:pPr>
        <w:pStyle w:val="FirstParagraph"/>
        <w:rPr>
          <w:rFonts w:cs="Times New Roman"/>
        </w:rPr>
      </w:pPr>
      <w:r w:rsidRPr="004D7AFD">
        <w:rPr>
          <w:rFonts w:cs="Times New Roman"/>
        </w:rPr>
        <w:t xml:space="preserve">Identifying factors, stages of life and health practices that modulate health developments such as the incidence of chronic diseases, disability and mortality over one’s life cycle is important for social insurance programs like Social Security Disability Insurance (DI) and Supplemental Security Income (SSI) programs and public health programs. Along this line, the paper surveyed </w:t>
      </w:r>
      <w:r w:rsidRPr="004D7AFD">
        <w:rPr>
          <w:rFonts w:cs="Times New Roman"/>
        </w:rPr>
        <w:lastRenderedPageBreak/>
        <w:t>the microbiology literature and found a general consensus for the “developmental programming” mechanism for health development process over life cycle. According to this view, much of an individual’s later life health outcomes is programmed at an early stage of life, as early as the prenatal stage, and most importantly right after the conception stage. The programming is strongly modulated by the epigenetic inputs created by the environment in the mother’s womb, at post-natal early childhood stages and health behaviors throughout life. The genetic predisposition also matters. But epigenetic factors modulate quite strongly the programming for later life developments in cognitive and non-cognitive health. The most important epigenetic factor is any kind of stress, including psychological, financial, social, and chemical stress. Other significant factors are diet, smoking, substance use, and exercising. These modulating factors are important throughout life, with stronger effects imparted in early stages of life.</w:t>
      </w:r>
    </w:p>
    <w:p w14:paraId="1BA8F9D7" w14:textId="77777777" w:rsidR="00697045" w:rsidRPr="004D7AFD" w:rsidRDefault="00000000">
      <w:pPr>
        <w:pStyle w:val="BodyText"/>
        <w:rPr>
          <w:rFonts w:cs="Times New Roman"/>
        </w:rPr>
      </w:pPr>
      <w:r w:rsidRPr="004D7AFD">
        <w:rPr>
          <w:rFonts w:cs="Times New Roman"/>
        </w:rPr>
        <w:t>This paper introduces a statistical multi-state time-to-event model, incorporating the above developmental programming mechanism and extending the existing disablement models from the disability literature. I use the Health and Retirement Survey (HRS) dataset to estimate the model. I use biomarkers BMI, CES-D and cognition scores as noisy measurements of depression and stress level, a measure of childhood socioeconomic status and childhood health as childhood factors, college graduation or higher education as a measure of cognitive health, smoking and exercising as health behaviors. I then study how these variables are related to the probabilities of following various transition paths through health states like normal health, illness with one-or-more chronic diseases, disability or death until age 65. Disability and death are treated as an absorbing state (i.e., final state) in this analysis.</w:t>
      </w:r>
    </w:p>
    <w:p w14:paraId="3C856574" w14:textId="77777777" w:rsidR="00697045" w:rsidRPr="004D7AFD" w:rsidRDefault="00000000">
      <w:pPr>
        <w:pStyle w:val="BodyText"/>
        <w:rPr>
          <w:rFonts w:cs="Times New Roman"/>
        </w:rPr>
      </w:pPr>
      <w:r w:rsidRPr="004D7AFD">
        <w:rPr>
          <w:rFonts w:cs="Times New Roman"/>
        </w:rPr>
        <w:t xml:space="preserve">The set of included regressors does not contain many of the genetic and epigenetic variables that modulate the heath development process over life cycle. These omitted variables will create frailty differences, i.e., unobserved heterogeneity among individuals given their observed characteristics (i.e., given the values of included variables). In general, the statistical estimates of the coefficients of the included regressors will be biased. For the two-state (i.e., alive-death) models, there are a few statistical estimation procedures that correct for the unobserved heterogeneity biases. For multi-state models, however, not much is available. The paper corrects for unobserved heterogeneity (or frailty) biases for the parameter estimates for multi-state models, </w:t>
      </w:r>
      <w:r w:rsidRPr="004D7AFD">
        <w:rPr>
          <w:rFonts w:cs="Times New Roman"/>
        </w:rPr>
        <w:lastRenderedPageBreak/>
        <w:t>adopting a statistical procedure developed for two-state models, and use these bias corrected parameter estimates for inference and policy analysis in the paper.</w:t>
      </w:r>
    </w:p>
    <w:p w14:paraId="6491DD65" w14:textId="77777777" w:rsidR="00697045" w:rsidRPr="004D7AFD" w:rsidRDefault="00000000">
      <w:pPr>
        <w:pStyle w:val="BodyText"/>
        <w:rPr>
          <w:rFonts w:cs="Times New Roman"/>
        </w:rPr>
      </w:pPr>
      <w:r w:rsidRPr="004D7AFD">
        <w:rPr>
          <w:rFonts w:cs="Times New Roman"/>
        </w:rPr>
        <w:t>The parameter estimates show that college graduates have significantly lower probability of all untoward transitions. The variable CES-D measuring the level of depression and stress has significant positive effects on the probability of transiting from normal health state to diseased or to disability health state, and from diseased health state to disability health state or to death health state. The other significant behavioral variables are smoking and sufficiently vigorous exercising regularly. Smoking has significantly adverse effects and exercising has favorable effects on probabilities of most transitions.</w:t>
      </w:r>
    </w:p>
    <w:p w14:paraId="4AE745C1" w14:textId="77777777" w:rsidR="00697045" w:rsidRPr="004D7AFD" w:rsidRDefault="00000000">
      <w:pPr>
        <w:pStyle w:val="BodyText"/>
        <w:rPr>
          <w:rFonts w:cs="Times New Roman"/>
        </w:rPr>
      </w:pPr>
      <w:r w:rsidRPr="004D7AFD">
        <w:rPr>
          <w:rFonts w:cs="Times New Roman"/>
        </w:rPr>
        <w:t xml:space="preserve">The paper finds that the childhood factors, biomarkers and health behaviors are all (statistically) significantly associated with the probabilities of following various health pathways; consistent with the developmental programming hypothesis mentioned above, the childhood factors are found to be most important, especially the Childhood SES variable which also found to have significant positive associations with childhood health, completed education level and probability of normal health state prior to reaching age </w:t>
      </w:r>
      <m:oMath>
        <m:r>
          <w:rPr>
            <w:rFonts w:ascii="Cambria Math" w:hAnsi="Cambria Math" w:cs="Times New Roman"/>
          </w:rPr>
          <m:t>51</m:t>
        </m:r>
      </m:oMath>
      <w:r w:rsidRPr="004D7AFD">
        <w:rPr>
          <w:rFonts w:cs="Times New Roman"/>
        </w:rPr>
        <w:t xml:space="preserve">. The statistically most significant estimate is for the coefficient of the variable CES-D, measuring the level of stress and depression. For instance, a </w:t>
      </w:r>
      <m:oMath>
        <m:r>
          <w:rPr>
            <w:rFonts w:ascii="Cambria Math" w:hAnsi="Cambria Math" w:cs="Times New Roman"/>
          </w:rPr>
          <m:t>0.1</m:t>
        </m:r>
      </m:oMath>
      <w:r w:rsidRPr="004D7AFD">
        <w:rPr>
          <w:rFonts w:cs="Times New Roman"/>
        </w:rPr>
        <w:t xml:space="preserve"> unit increase in CES-D (the variable CES-D is measured in a scale of </w:t>
      </w:r>
      <m:oMath>
        <m:r>
          <m:rPr>
            <m:sty m:val="p"/>
          </m:rPr>
          <w:rPr>
            <w:rFonts w:ascii="Cambria Math" w:hAnsi="Cambria Math" w:cs="Times New Roman"/>
          </w:rPr>
          <m:t>-</m:t>
        </m:r>
        <m:r>
          <w:rPr>
            <w:rFonts w:ascii="Cambria Math" w:hAnsi="Cambria Math" w:cs="Times New Roman"/>
          </w:rPr>
          <m:t>0.5</m:t>
        </m:r>
      </m:oMath>
      <w:r w:rsidRPr="004D7AFD">
        <w:rPr>
          <w:rFonts w:cs="Times New Roman"/>
        </w:rPr>
        <w:t xml:space="preserve"> to </w:t>
      </w:r>
      <m:oMath>
        <m:r>
          <w:rPr>
            <w:rFonts w:ascii="Cambria Math" w:hAnsi="Cambria Math" w:cs="Times New Roman"/>
          </w:rPr>
          <m:t>0.5</m:t>
        </m:r>
      </m:oMath>
      <w:r w:rsidRPr="004D7AFD">
        <w:rPr>
          <w:rFonts w:cs="Times New Roman"/>
        </w:rPr>
        <w:t>) is associated with around 1.18 times higher probability of getting onto the disability program for individuals in normal health state and around 1.1 times higher for individuals in diseased health state, holding all other factors constant. Out of all types of health behaviors, smoking has statistically significant positive association and regular exercising has negative association with the probabilities of diseases, disability and death.</w:t>
      </w:r>
    </w:p>
    <w:p w14:paraId="256BE3B1" w14:textId="77777777" w:rsidR="00697045" w:rsidRPr="004D7AFD" w:rsidRDefault="00000000">
      <w:pPr>
        <w:pStyle w:val="BodyText"/>
        <w:rPr>
          <w:rFonts w:cs="Times New Roman"/>
        </w:rPr>
      </w:pPr>
      <w:r w:rsidRPr="004D7AFD">
        <w:rPr>
          <w:rFonts w:cs="Times New Roman"/>
        </w:rPr>
        <w:t xml:space="preserve">The paper quantitatively estimates various policy effects on the risks of getting onto the disability rolls and death for various types of individuals. Individuals with low values of childhood factors are referred as having </w:t>
      </w:r>
      <w:r w:rsidRPr="004D7AFD">
        <w:rPr>
          <w:rFonts w:cs="Times New Roman"/>
          <w:i/>
          <w:iCs/>
        </w:rPr>
        <w:t>disadvantaged childhood</w:t>
      </w:r>
      <w:r w:rsidRPr="004D7AFD">
        <w:rPr>
          <w:rFonts w:cs="Times New Roman"/>
        </w:rPr>
        <w:t xml:space="preserve"> and with high values of childhood factors as having </w:t>
      </w:r>
      <w:r w:rsidRPr="004D7AFD">
        <w:rPr>
          <w:rFonts w:cs="Times New Roman"/>
          <w:i/>
          <w:iCs/>
        </w:rPr>
        <w:t>advantaged childhood</w:t>
      </w:r>
      <w:r w:rsidRPr="004D7AFD">
        <w:rPr>
          <w:rFonts w:cs="Times New Roman"/>
        </w:rPr>
        <w:t xml:space="preserve">. They are further divided by the type of health practices they follow—good health practices or poor health practices—and by their initial early </w:t>
      </w:r>
      <m:oMath>
        <m:r>
          <w:rPr>
            <w:rFonts w:ascii="Cambria Math" w:hAnsi="Cambria Math" w:cs="Times New Roman"/>
          </w:rPr>
          <m:t>50</m:t>
        </m:r>
      </m:oMath>
      <w:r w:rsidRPr="004D7AFD">
        <w:rPr>
          <w:rFonts w:cs="Times New Roman"/>
        </w:rPr>
        <w:t>s health state—normal or diseased. The paper considers public policies that turn a disadvantaged childhood individual into an advantaged childhood individual, public policies that help individuals follow good health practices or public policies that can achieve both.</w:t>
      </w:r>
    </w:p>
    <w:p w14:paraId="370ACA54" w14:textId="77777777" w:rsidR="00697045" w:rsidRPr="004D7AFD" w:rsidRDefault="00000000">
      <w:pPr>
        <w:pStyle w:val="BodyText"/>
        <w:rPr>
          <w:rFonts w:cs="Times New Roman"/>
        </w:rPr>
      </w:pPr>
      <w:r w:rsidRPr="004D7AFD">
        <w:rPr>
          <w:rFonts w:cs="Times New Roman"/>
        </w:rPr>
        <w:lastRenderedPageBreak/>
        <w:t xml:space="preserve">For a disadvantaged childhood individual of normal initial health following poor health practices, the model predicts that policies that turn him to an advantaged individual without changes in his health practices will lower his probability of getting onto the disability rolls by age </w:t>
      </w:r>
      <m:oMath>
        <m:r>
          <w:rPr>
            <w:rFonts w:ascii="Cambria Math" w:hAnsi="Cambria Math" w:cs="Times New Roman"/>
          </w:rPr>
          <m:t>65</m:t>
        </m:r>
      </m:oMath>
      <w:r w:rsidRPr="004D7AFD">
        <w:rPr>
          <w:rFonts w:cs="Times New Roman"/>
        </w:rPr>
        <w:t xml:space="preserve"> from around 0.095 to around 0.033. The policies that change him from following poor to good health practices without changes to his disadvantaged childhood status will lower the probability to about 0.044. Policies that change both his disadvantaged status and health practices, would lower the probability even further to about 0.014. It follows that the policies that improve health practices will also lower the risk of getting onto disability rolls of an advantaged individual following poor health practices by about 0.019.</w:t>
      </w:r>
    </w:p>
    <w:p w14:paraId="3400C7DE" w14:textId="77777777" w:rsidR="00697045" w:rsidRPr="004D7AFD" w:rsidRDefault="00000000">
      <w:pPr>
        <w:pStyle w:val="BodyText"/>
        <w:rPr>
          <w:rFonts w:cs="Times New Roman"/>
        </w:rPr>
      </w:pPr>
      <w:r w:rsidRPr="004D7AFD">
        <w:rPr>
          <w:rFonts w:cs="Times New Roman"/>
        </w:rPr>
        <w:t>Improvements of childhood factors involve policies for disadvantaged children to complete college (see Heckman (</w:t>
      </w:r>
      <w:hyperlink w:anchor="ref-Heckman_2008">
        <w:r w:rsidRPr="004D7AFD">
          <w:rPr>
            <w:rStyle w:val="Hyperlink"/>
            <w:rFonts w:cs="Times New Roman"/>
          </w:rPr>
          <w:t>2008</w:t>
        </w:r>
      </w:hyperlink>
      <w:r w:rsidRPr="004D7AFD">
        <w:rPr>
          <w:rFonts w:cs="Times New Roman"/>
        </w:rPr>
        <w:t>), Heckman and Raut (</w:t>
      </w:r>
      <w:hyperlink w:anchor="ref-Heckman.Raut_2016">
        <w:r w:rsidRPr="004D7AFD">
          <w:rPr>
            <w:rStyle w:val="Hyperlink"/>
            <w:rFonts w:cs="Times New Roman"/>
          </w:rPr>
          <w:t>2016</w:t>
        </w:r>
      </w:hyperlink>
      <w:r w:rsidRPr="004D7AFD">
        <w:rPr>
          <w:rFonts w:cs="Times New Roman"/>
        </w:rPr>
        <w:t>) and Raut (</w:t>
      </w:r>
      <w:hyperlink w:anchor="ref-Raut_2018">
        <w:r w:rsidRPr="004D7AFD">
          <w:rPr>
            <w:rStyle w:val="Hyperlink"/>
            <w:rFonts w:cs="Times New Roman"/>
          </w:rPr>
          <w:t>2018</w:t>
        </w:r>
      </w:hyperlink>
      <w:r w:rsidRPr="004D7AFD">
        <w:rPr>
          <w:rFonts w:cs="Times New Roman"/>
        </w:rPr>
        <w:t>) among others for policies to this end) and to achieve better health involves improvements in healthcare access of the disadvantaged children. The policies that bring changes in health behaviors will involve public health education and regulations in food industry (see, Mozaffarian (</w:t>
      </w:r>
      <w:hyperlink w:anchor="ref-Mozaffari_2016">
        <w:r w:rsidRPr="004D7AFD">
          <w:rPr>
            <w:rStyle w:val="Hyperlink"/>
            <w:rFonts w:cs="Times New Roman"/>
          </w:rPr>
          <w:t>2016</w:t>
        </w:r>
      </w:hyperlink>
      <w:r w:rsidRPr="004D7AFD">
        <w:rPr>
          <w:rFonts w:cs="Times New Roman"/>
        </w:rPr>
        <w:t>), Timpel et al. (</w:t>
      </w:r>
      <w:hyperlink w:anchor="ref-Timpel.etal_2019">
        <w:r w:rsidRPr="004D7AFD">
          <w:rPr>
            <w:rStyle w:val="Hyperlink"/>
            <w:rFonts w:cs="Times New Roman"/>
          </w:rPr>
          <w:t>2019</w:t>
        </w:r>
      </w:hyperlink>
      <w:r w:rsidRPr="004D7AFD">
        <w:rPr>
          <w:rFonts w:cs="Times New Roman"/>
        </w:rPr>
        <w:t>), Budreviciute et al. (</w:t>
      </w:r>
      <w:hyperlink w:anchor="ref-Budreviciute.etal_2020">
        <w:r w:rsidRPr="004D7AFD">
          <w:rPr>
            <w:rStyle w:val="Hyperlink"/>
            <w:rFonts w:cs="Times New Roman"/>
          </w:rPr>
          <w:t>2020</w:t>
        </w:r>
      </w:hyperlink>
      <w:r w:rsidRPr="004D7AFD">
        <w:rPr>
          <w:rFonts w:cs="Times New Roman"/>
        </w:rPr>
        <w:t>) among others). The latter type of policies are relatively more difficult to design and implement. Even only with policies that improve the childhood factors for disadvantaged children, some of the children will also have improvements in their biomarkers, health behaviors, and the likelihood of having normal health in their early middle ages. These will additionally lower the probability of getting onto the disability rolls and the probability of death in the population.</w:t>
      </w:r>
    </w:p>
    <w:p w14:paraId="1D0050D7" w14:textId="77777777" w:rsidR="00697045" w:rsidRPr="004D7AFD" w:rsidRDefault="00000000">
      <w:pPr>
        <w:pStyle w:val="BodyText"/>
        <w:rPr>
          <w:rFonts w:cs="Times New Roman"/>
        </w:rPr>
      </w:pPr>
      <w:r w:rsidRPr="004D7AFD">
        <w:rPr>
          <w:rFonts w:cs="Times New Roman"/>
        </w:rPr>
        <w:t>For individuals in their early fifties in normal health and in diseased health state with one or more chronic diseases, I have computed the risks of their acquiring diseases, or becoming disabled or dying before age 65. Unlike the findings of Case and Deaton (</w:t>
      </w:r>
      <w:hyperlink w:anchor="ref-Case.Deaton_2015">
        <w:r w:rsidRPr="004D7AFD">
          <w:rPr>
            <w:rStyle w:val="Hyperlink"/>
            <w:rFonts w:cs="Times New Roman"/>
          </w:rPr>
          <w:t>2015</w:t>
        </w:r>
      </w:hyperlink>
      <w:r w:rsidRPr="004D7AFD">
        <w:rPr>
          <w:rFonts w:cs="Times New Roman"/>
        </w:rPr>
        <w:t>), the non-Hispanic whites in their mid-ages, 50-60 in 1992, do not show higher morbidity, higher incidence of disability nor higher mortality. This non-corroborating estimate could be due to the fact that the cohort in this study is older, and the studied period is little earlier, 1992-2006, as compared to the age-group, 40-45, and the period, 1999-2013, for which their findings hold. Future work using the younger cohorts in the HRS data can shed better light on the issue.</w:t>
      </w:r>
    </w:p>
    <w:p w14:paraId="3029FCA2" w14:textId="77777777" w:rsidR="00697045" w:rsidRDefault="00000000">
      <w:pPr>
        <w:pStyle w:val="Heading1"/>
        <w:rPr>
          <w:rFonts w:cs="Times New Roman"/>
        </w:rPr>
      </w:pPr>
      <w:bookmarkStart w:id="40" w:name="appendix"/>
      <w:bookmarkEnd w:id="39"/>
      <w:r w:rsidRPr="004D7AFD">
        <w:rPr>
          <w:rFonts w:cs="Times New Roman"/>
        </w:rPr>
        <w:lastRenderedPageBreak/>
        <w:t>Appendix:</w:t>
      </w:r>
    </w:p>
    <w:p w14:paraId="6A3CB960" w14:textId="77777777" w:rsidR="004D7AFD" w:rsidRPr="004D7AFD" w:rsidRDefault="004D7AFD" w:rsidP="004D7AFD">
      <w:pPr>
        <w:pStyle w:val="BodyText"/>
      </w:pPr>
    </w:p>
    <w:p w14:paraId="55CD92FD" w14:textId="77777777" w:rsidR="00697045" w:rsidRPr="004D7AFD" w:rsidRDefault="00000000">
      <w:pPr>
        <w:pStyle w:val="TableCaption"/>
        <w:rPr>
          <w:rFonts w:cs="Times New Roman"/>
        </w:rPr>
      </w:pPr>
      <w:bookmarkStart w:id="41" w:name="tbl-table9app"/>
      <w:r w:rsidRPr="004D7AFD">
        <w:rPr>
          <w:rFonts w:cs="Times New Roman"/>
        </w:rPr>
        <w:t>Table 8: Unobserved heterogeneity bias corrected estimates of Cox regression models with childhood factors, biomarkers and health behaviors - common random effect across transitions.</w:t>
      </w:r>
    </w:p>
    <w:tbl>
      <w:tblPr>
        <w:tblW w:w="0" w:type="auto"/>
        <w:tblLook w:val="0000" w:firstRow="0" w:lastRow="0" w:firstColumn="0" w:lastColumn="0" w:noHBand="0" w:noVBand="0"/>
        <w:tblCaption w:val="Table 8: Unobserved heterogeneity bias corrected estimates of Cox regression models with childhood factors, biomarkers and health behaviors - common random effect across transitions."/>
      </w:tblPr>
      <w:tblGrid>
        <w:gridCol w:w="1761"/>
        <w:gridCol w:w="1313"/>
        <w:gridCol w:w="1195"/>
        <w:gridCol w:w="1195"/>
        <w:gridCol w:w="1313"/>
        <w:gridCol w:w="1292"/>
        <w:gridCol w:w="683"/>
        <w:gridCol w:w="608"/>
      </w:tblGrid>
      <w:tr w:rsidR="00697045" w:rsidRPr="004D7AFD" w14:paraId="1986F05A" w14:textId="77777777">
        <w:trPr>
          <w:gridAfter w:val="1"/>
        </w:trPr>
        <w:tc>
          <w:tcPr>
            <w:tcW w:w="0" w:type="auto"/>
            <w:gridSpan w:val="7"/>
          </w:tcPr>
          <w:p w14:paraId="4A8CE055" w14:textId="77777777" w:rsidR="00697045" w:rsidRPr="004D7AFD" w:rsidRDefault="00697045">
            <w:pPr>
              <w:pStyle w:val="Compact"/>
              <w:rPr>
                <w:rFonts w:cs="Times New Roman"/>
              </w:rPr>
            </w:pPr>
          </w:p>
        </w:tc>
      </w:tr>
      <w:bookmarkEnd w:id="41"/>
      <w:tr w:rsidR="00697045" w:rsidRPr="004D7AFD" w14:paraId="5336E154" w14:textId="77777777">
        <w:tblPrEx>
          <w:jc w:val="center"/>
          <w:tblLook w:val="0420" w:firstRow="1" w:lastRow="0" w:firstColumn="0" w:lastColumn="0" w:noHBand="0" w:noVBand="1"/>
        </w:tblPrEx>
        <w:trPr>
          <w:jc w:val="center"/>
        </w:trPr>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68BF6D82"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2D8F2A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2</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7E12BF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3</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460408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1 → 4</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B99464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1</w:t>
            </w:r>
          </w:p>
        </w:tc>
        <w:tc>
          <w:tcPr>
            <w:tcW w:w="0" w:type="auto"/>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22AD31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3</w:t>
            </w:r>
          </w:p>
        </w:tc>
        <w:tc>
          <w:tcPr>
            <w:tcW w:w="0" w:type="auto"/>
            <w:gridSpan w:val="2"/>
            <w:tcBorders>
              <w:top w:val="single" w:sz="24"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FF0C80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center"/>
              <w:rPr>
                <w:rFonts w:cs="Times New Roman"/>
              </w:rPr>
            </w:pPr>
            <w:r w:rsidRPr="004D7AFD">
              <w:rPr>
                <w:rFonts w:eastAsia="Arial" w:cs="Times New Roman"/>
                <w:b/>
                <w:color w:val="000000"/>
                <w:sz w:val="22"/>
                <w:szCs w:val="22"/>
              </w:rPr>
              <w:t>2 → 4</w:t>
            </w:r>
          </w:p>
        </w:tc>
      </w:tr>
      <w:tr w:rsidR="00697045" w:rsidRPr="004D7AFD" w14:paraId="30D16948"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B6F284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White</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268568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0.198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7CC37E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0.412</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089A86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-0.455</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C0E718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0.158 *</w:t>
            </w:r>
          </w:p>
        </w:tc>
        <w:tc>
          <w:tcPr>
            <w:tcW w:w="0" w:type="auto"/>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1270AE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-0.046</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1DA5A9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-0.002</w:t>
            </w:r>
          </w:p>
        </w:tc>
      </w:tr>
      <w:tr w:rsidR="00697045" w:rsidRPr="004D7AFD" w14:paraId="774E6F0C"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CC0CB9E"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B5062C9"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5EA9290"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(0.217)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305541C"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(0.244)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E78A00B"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4A0B916"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(0.077)</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E95AD5"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(0.093)</w:t>
            </w:r>
          </w:p>
        </w:tc>
      </w:tr>
      <w:tr w:rsidR="00697045" w:rsidRPr="004D7AFD" w14:paraId="728CA0ED"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71F1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169D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6097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E21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475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-0.286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0133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D290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-0.415 ***</w:t>
            </w:r>
          </w:p>
        </w:tc>
      </w:tr>
      <w:tr w:rsidR="00697045" w:rsidRPr="004D7AFD" w14:paraId="38D8A90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8FB3"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3733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A66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7715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121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6BD0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394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(0.086)</w:t>
            </w:r>
          </w:p>
        </w:tc>
      </w:tr>
      <w:tr w:rsidR="00697045" w:rsidRPr="004D7AFD" w14:paraId="76CDD7D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AD8F63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Childhood SES</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069735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-0.210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879C93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-0.177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328EDD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439270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-0.051</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F9BDE4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-0.222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9AC6C9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-0.088</w:t>
            </w:r>
          </w:p>
        </w:tc>
      </w:tr>
      <w:tr w:rsidR="00697045" w:rsidRPr="004D7AFD" w14:paraId="2822CE5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1DEDCF3"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CF41CC"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(0.038)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31C220D"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(0.223)</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95318C7"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(0.268)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3EA4BC7"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(0.065)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E6A080D"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(0.088)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4C3D72E"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(0.099)</w:t>
            </w:r>
          </w:p>
        </w:tc>
      </w:tr>
      <w:tr w:rsidR="00697045" w:rsidRPr="004D7AFD" w14:paraId="021AE86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9B4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Childhood Health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69F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1A4F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747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-0.828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B49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53FD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F368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-0.411 ***</w:t>
            </w:r>
          </w:p>
        </w:tc>
      </w:tr>
      <w:tr w:rsidR="00697045" w:rsidRPr="004D7AFD" w14:paraId="5D17BF1A"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7736"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135B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DD2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B987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5577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92D3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(0.078)</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B80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(0.088)</w:t>
            </w:r>
          </w:p>
        </w:tc>
      </w:tr>
      <w:tr w:rsidR="00697045" w:rsidRPr="004D7AFD" w14:paraId="3DC56CA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30B1FE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College</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CD3205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8C20D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-0.805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CD4A84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-0.783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548934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C4691F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-0.774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1A5B5B2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-0.266 *</w:t>
            </w:r>
          </w:p>
        </w:tc>
      </w:tr>
      <w:tr w:rsidR="00697045" w:rsidRPr="004D7AFD" w14:paraId="2080D80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9E6B31D"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27234F5"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(0.042)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266512D"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(0.322)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A4511B3"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(0.392)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6C4F597"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D0E7B78"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(0.125)</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FA38DB9"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(0.124)</w:t>
            </w:r>
          </w:p>
        </w:tc>
      </w:tr>
      <w:tr w:rsidR="00697045" w:rsidRPr="004D7AFD" w14:paraId="2970D7A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A55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CES-D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FCCC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0.550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0B84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1.589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A538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37D2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-0.431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4CE2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1.022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4B21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0.596 ***</w:t>
            </w:r>
          </w:p>
        </w:tc>
      </w:tr>
      <w:tr w:rsidR="00697045" w:rsidRPr="004D7AFD" w14:paraId="1F238C5C"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E299"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E00B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47D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2CF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(0.501)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DF77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B741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(0.117)</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34E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(0.146)</w:t>
            </w:r>
          </w:p>
        </w:tc>
      </w:tr>
      <w:tr w:rsidR="00697045" w:rsidRPr="004D7AFD" w14:paraId="2951790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1CC592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Total cognitive scores</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783E0D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955652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-0.076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C1598B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-0.028</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38FF29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459F2A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-0.009</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9BED72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-0.001</w:t>
            </w:r>
          </w:p>
        </w:tc>
      </w:tr>
      <w:tr w:rsidR="00697045" w:rsidRPr="004D7AFD" w14:paraId="6D64E6C9"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59D6E8B"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3A69246"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(0.004)</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8468815"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(0.020)</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4DF62D3"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(0.026)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8DF0049"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(0.007)</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0E1ABCE0"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(0.008)</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32CC9460"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(0.010)</w:t>
            </w:r>
          </w:p>
        </w:tc>
      </w:tr>
      <w:tr w:rsidR="00697045" w:rsidRPr="004D7AFD" w14:paraId="6E3B0977"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6AA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BMI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196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0.264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D10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06F6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94C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-0.474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C14A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-0.013</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FE0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-0.217 *</w:t>
            </w:r>
          </w:p>
        </w:tc>
      </w:tr>
      <w:tr w:rsidR="00697045" w:rsidRPr="004D7AFD" w14:paraId="21AC104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6F989"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FFEC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DAB0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6EEC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2395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E35D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(0.080)</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4494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(0.091)</w:t>
            </w:r>
          </w:p>
        </w:tc>
      </w:tr>
      <w:tr w:rsidR="00697045" w:rsidRPr="004D7AFD" w14:paraId="1B1ACBB8"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0F8FAF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Behavior: Smoking</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AC1802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0.131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C5EDDA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0.639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E6AC01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1.305 ***</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58EE0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-0.042</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EB0660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0.361 ***</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047BC9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0.646 ***</w:t>
            </w:r>
          </w:p>
        </w:tc>
      </w:tr>
      <w:tr w:rsidR="00697045" w:rsidRPr="004D7AFD" w14:paraId="1A5AE632"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6E0603AB" w14:textId="77777777" w:rsidR="00697045" w:rsidRPr="004D7AFD" w:rsidRDefault="00697045">
            <w:pPr>
              <w:pBdr>
                <w:top w:val="none" w:sz="0" w:space="0" w:color="000000"/>
                <w:left w:val="none" w:sz="0" w:space="0" w:color="000000"/>
                <w:bottom w:val="none" w:sz="0" w:space="0" w:color="000000"/>
                <w:right w:val="none" w:sz="0" w:space="0" w:color="000000"/>
              </w:pBdr>
              <w:spacing w:after="80"/>
              <w:ind w:left="40" w:right="40"/>
              <w:rPr>
                <w:rFonts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77C7AF4E"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(0.035)</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29D2AAA"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(0.206)</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227A81D1"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(0.309)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0D30265"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(0.059)</w:t>
            </w:r>
          </w:p>
        </w:tc>
        <w:tc>
          <w:tcPr>
            <w:tcW w:w="0" w:type="auto"/>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4A0FC3DE"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(0.077)</w:t>
            </w:r>
          </w:p>
        </w:tc>
        <w:tc>
          <w:tcPr>
            <w:tcW w:w="0" w:type="auto"/>
            <w:gridSpan w:val="2"/>
            <w:tcBorders>
              <w:top w:val="none" w:sz="0" w:space="0" w:color="000000"/>
              <w:left w:val="none" w:sz="0" w:space="0" w:color="000000"/>
              <w:bottom w:val="none" w:sz="0" w:space="0" w:color="000000"/>
              <w:right w:val="none" w:sz="0" w:space="0" w:color="000000"/>
            </w:tcBorders>
            <w:shd w:val="clear" w:color="auto" w:fill="CCCCFF"/>
            <w:tcMar>
              <w:top w:w="0" w:type="dxa"/>
              <w:left w:w="0" w:type="dxa"/>
              <w:bottom w:w="0" w:type="dxa"/>
              <w:right w:w="0" w:type="dxa"/>
            </w:tcMar>
          </w:tcPr>
          <w:p w14:paraId="59D9FA0F" w14:textId="77777777" w:rsidR="00697045" w:rsidRPr="004D7AFD" w:rsidRDefault="00000000">
            <w:pPr>
              <w:pBdr>
                <w:top w:val="none" w:sz="0" w:space="0" w:color="000000"/>
                <w:left w:val="none" w:sz="0" w:space="0" w:color="000000"/>
                <w:bottom w:val="none" w:sz="0" w:space="0" w:color="000000"/>
                <w:right w:val="none" w:sz="0" w:space="0" w:color="000000"/>
              </w:pBdr>
              <w:spacing w:after="80"/>
              <w:ind w:left="40" w:right="40"/>
              <w:rPr>
                <w:rFonts w:cs="Times New Roman"/>
              </w:rPr>
            </w:pPr>
            <w:r w:rsidRPr="004D7AFD">
              <w:rPr>
                <w:rFonts w:eastAsia="Arial" w:cs="Times New Roman"/>
                <w:color w:val="000000"/>
                <w:sz w:val="22"/>
                <w:szCs w:val="22"/>
              </w:rPr>
              <w:t>(0.098)</w:t>
            </w:r>
          </w:p>
        </w:tc>
      </w:tr>
      <w:tr w:rsidR="00697045" w:rsidRPr="004D7AFD" w14:paraId="5E58F77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DD05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Behavior: Exercising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ECB6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0.145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E564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-0.195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F70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-1.010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5AE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0.362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F181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-0.331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D217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-0.920 ***</w:t>
            </w:r>
          </w:p>
        </w:tc>
      </w:tr>
      <w:tr w:rsidR="00697045" w:rsidRPr="004D7AFD" w14:paraId="1355D6F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61B77E4" w14:textId="77777777" w:rsidR="00697045" w:rsidRPr="004D7AFD" w:rsidRDefault="00697045">
            <w:pPr>
              <w:pBdr>
                <w:top w:val="none" w:sz="0" w:space="0" w:color="000000"/>
                <w:left w:val="none" w:sz="0" w:space="0" w:color="000000"/>
                <w:bottom w:val="none" w:sz="0" w:space="0" w:color="000000"/>
                <w:right w:val="none" w:sz="0" w:space="0" w:color="000000"/>
              </w:pBdr>
              <w:spacing w:after="0"/>
              <w:ind w:left="40" w:right="40"/>
              <w:rPr>
                <w:rFonts w:cs="Times New Roman"/>
              </w:rPr>
            </w:pP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6D31482"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(0.043)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AC69F4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(0.204)</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0D9881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(0.229)</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4479D2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A6481C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(0.072)</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0CD2F03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(0.085)</w:t>
            </w:r>
          </w:p>
        </w:tc>
      </w:tr>
      <w:tr w:rsidR="00697045" w:rsidRPr="004D7AFD" w14:paraId="776943F6" w14:textId="77777777">
        <w:tblPrEx>
          <w:jc w:val="center"/>
          <w:tblLook w:val="0420" w:firstRow="1" w:lastRow="0" w:firstColumn="0" w:lastColumn="0" w:noHBand="0" w:noVBand="1"/>
        </w:tblPrEx>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517B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#obs</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0B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6482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EE15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6482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7757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6482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1115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14211</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24324"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14211</w:t>
            </w:r>
          </w:p>
        </w:tc>
        <w:tc>
          <w:tcPr>
            <w:tcW w:w="0" w:type="auto"/>
            <w:gridSpan w:val="2"/>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997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14211</w:t>
            </w:r>
          </w:p>
        </w:tc>
      </w:tr>
      <w:tr w:rsidR="00697045" w:rsidRPr="004D7AFD" w14:paraId="413C9AC4"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1324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#events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17AB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3534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DCA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124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D9C2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CE37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1235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EBE1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841    </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85B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593    </w:t>
            </w:r>
          </w:p>
        </w:tc>
      </w:tr>
      <w:tr w:rsidR="00697045" w:rsidRPr="004D7AFD" w14:paraId="7F094990"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D0A308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θ</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AF3ED3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0.284</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AE0A98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7D4899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6FB0499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5904F65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E6BF7A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r>
      <w:tr w:rsidR="00697045" w:rsidRPr="004D7AFD" w14:paraId="71ED1D8F"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2580F7A"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χ²</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2756800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503.22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C7A7C0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41F549E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A20D438"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587A561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6846746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r>
      <w:tr w:rsidR="00697045" w:rsidRPr="004D7AFD" w14:paraId="72D0F53F"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093FE5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χ²-pvalue</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891588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3AFCFAD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63104B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718EDA29"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10545680"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c>
          <w:tcPr>
            <w:tcW w:w="0" w:type="auto"/>
            <w:gridSpan w:val="2"/>
            <w:tcBorders>
              <w:top w:val="none" w:sz="0" w:space="0" w:color="000000"/>
              <w:left w:val="none" w:sz="0" w:space="0" w:color="000000"/>
              <w:bottom w:val="none" w:sz="0" w:space="0" w:color="000000"/>
              <w:right w:val="none" w:sz="0" w:space="0" w:color="000000"/>
            </w:tcBorders>
            <w:shd w:val="clear" w:color="auto" w:fill="B4F6EF"/>
            <w:tcMar>
              <w:top w:w="0" w:type="dxa"/>
              <w:left w:w="0" w:type="dxa"/>
              <w:bottom w:w="0" w:type="dxa"/>
              <w:right w:w="0" w:type="dxa"/>
            </w:tcMar>
          </w:tcPr>
          <w:p w14:paraId="0E872CD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 xml:space="preserve">    </w:t>
            </w:r>
          </w:p>
        </w:tc>
      </w:tr>
      <w:tr w:rsidR="00697045" w:rsidRPr="004D7AFD" w14:paraId="1918638B"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5F5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R²</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00E6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6932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853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B26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F90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0.017</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B78DC"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0.019</w:t>
            </w:r>
          </w:p>
        </w:tc>
      </w:tr>
      <w:tr w:rsidR="00697045" w:rsidRPr="004D7AFD" w14:paraId="4B540E95"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F9A3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logLik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390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-28700.592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2A395"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-970.834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484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-607.249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3614B"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-11257.362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87F7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-7628.676</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EF6E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-5353.046</w:t>
            </w:r>
          </w:p>
        </w:tc>
      </w:tr>
      <w:tr w:rsidR="00697045" w:rsidRPr="004D7AFD" w14:paraId="52F8915E" w14:textId="77777777">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72C0493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b/>
                <w:color w:val="000000"/>
                <w:sz w:val="22"/>
                <w:szCs w:val="22"/>
              </w:rPr>
              <w:t>AIC</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5C589B6"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57421.183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1640F6F1"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1961.667</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554E3DA3"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1234.497</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359F77FF"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22534.723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41CB4D0D"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15277.353</w:t>
            </w:r>
          </w:p>
        </w:tc>
        <w:tc>
          <w:tcPr>
            <w:tcW w:w="0" w:type="auto"/>
            <w:gridSpan w:val="2"/>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tcPr>
          <w:p w14:paraId="2F57B647"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jc w:val="right"/>
              <w:rPr>
                <w:rFonts w:cs="Times New Roman"/>
              </w:rPr>
            </w:pPr>
            <w:r w:rsidRPr="004D7AFD">
              <w:rPr>
                <w:rFonts w:eastAsia="Arial" w:cs="Times New Roman"/>
                <w:color w:val="000000"/>
                <w:sz w:val="22"/>
                <w:szCs w:val="22"/>
              </w:rPr>
              <w:t>10726.092</w:t>
            </w:r>
          </w:p>
        </w:tc>
      </w:tr>
      <w:tr w:rsidR="00697045" w:rsidRPr="004D7AFD" w14:paraId="4A1CAE0C" w14:textId="77777777">
        <w:tblPrEx>
          <w:jc w:val="center"/>
          <w:tblLook w:val="0420" w:firstRow="1" w:lastRow="0" w:firstColumn="0" w:lastColumn="0" w:noHBand="0" w:noVBand="1"/>
        </w:tblPrEx>
        <w:trPr>
          <w:jc w:val="center"/>
        </w:trPr>
        <w:tc>
          <w:tcPr>
            <w:tcW w:w="0" w:type="auto"/>
            <w:gridSpan w:val="8"/>
            <w:tcBorders>
              <w:top w:val="single" w:sz="16" w:space="0" w:color="000000"/>
              <w:left w:val="none" w:sz="0" w:space="0" w:color="000000"/>
              <w:bottom w:val="single" w:sz="24" w:space="0" w:color="000000"/>
              <w:right w:val="none" w:sz="0" w:space="0" w:color="000000"/>
            </w:tcBorders>
            <w:shd w:val="clear" w:color="auto" w:fill="FFFFFF"/>
            <w:tcMar>
              <w:top w:w="0" w:type="dxa"/>
              <w:left w:w="0" w:type="dxa"/>
              <w:bottom w:w="0" w:type="dxa"/>
              <w:right w:w="0" w:type="dxa"/>
            </w:tcMar>
          </w:tcPr>
          <w:p w14:paraId="24ED993E" w14:textId="77777777" w:rsidR="00697045" w:rsidRPr="004D7AFD" w:rsidRDefault="00000000">
            <w:pPr>
              <w:pBdr>
                <w:top w:val="none" w:sz="0" w:space="0" w:color="000000"/>
                <w:left w:val="none" w:sz="0" w:space="0" w:color="000000"/>
                <w:bottom w:val="none" w:sz="0" w:space="0" w:color="000000"/>
                <w:right w:val="none" w:sz="0" w:space="0" w:color="000000"/>
              </w:pBdr>
              <w:spacing w:after="0"/>
              <w:ind w:left="40" w:right="40"/>
              <w:rPr>
                <w:rFonts w:cs="Times New Roman"/>
              </w:rPr>
            </w:pPr>
            <w:r w:rsidRPr="004D7AFD">
              <w:rPr>
                <w:rFonts w:eastAsia="Arial" w:cs="Times New Roman"/>
                <w:color w:val="000000"/>
                <w:sz w:val="22"/>
                <w:szCs w:val="22"/>
              </w:rPr>
              <w:t>Notes:  *** p &lt; 0.001;  ** p &lt; 0.01;  * p &lt; 0.05. Standard errors are in parenthesis. The statistic χ² is to test the null hypothesis, H₀: θ =0, i.e., no unobserved heterogeneity and χ²-pvalue is its p-value. Recall that health states numbers represent 1 = normal health, 2 = diseased, 3 = disabled, 4 = death.</w:t>
            </w:r>
          </w:p>
        </w:tc>
      </w:tr>
    </w:tbl>
    <w:p w14:paraId="494DE9FC" w14:textId="77777777" w:rsidR="00697045" w:rsidRPr="004D7AFD" w:rsidRDefault="00000000">
      <w:pPr>
        <w:pStyle w:val="Heading1"/>
        <w:rPr>
          <w:rFonts w:cs="Times New Roman"/>
        </w:rPr>
      </w:pPr>
      <w:bookmarkStart w:id="42" w:name="references"/>
      <w:bookmarkEnd w:id="40"/>
      <w:r w:rsidRPr="004D7AFD">
        <w:rPr>
          <w:rFonts w:cs="Times New Roman"/>
        </w:rPr>
        <w:lastRenderedPageBreak/>
        <w:t>References</w:t>
      </w:r>
    </w:p>
    <w:p w14:paraId="4D164A67" w14:textId="77777777" w:rsidR="00697045" w:rsidRPr="004D7AFD" w:rsidRDefault="00000000">
      <w:pPr>
        <w:pStyle w:val="Bibliography"/>
        <w:rPr>
          <w:rFonts w:cs="Times New Roman"/>
        </w:rPr>
      </w:pPr>
      <w:bookmarkStart w:id="43" w:name="ref-Aalen.etal_2008_Book"/>
      <w:bookmarkStart w:id="44" w:name="refs"/>
      <w:r w:rsidRPr="004D7AFD">
        <w:rPr>
          <w:rFonts w:cs="Times New Roman"/>
        </w:rPr>
        <w:t xml:space="preserve">Aalen, Odd O., Ørnulf Borgan, and Håkon K. Gjessing. 2008. </w:t>
      </w:r>
      <w:r w:rsidRPr="004D7AFD">
        <w:rPr>
          <w:rFonts w:cs="Times New Roman"/>
          <w:i/>
          <w:iCs/>
        </w:rPr>
        <w:t>Survival and Event History Analysis</w:t>
      </w:r>
      <w:r w:rsidRPr="004D7AFD">
        <w:rPr>
          <w:rFonts w:cs="Times New Roman"/>
        </w:rPr>
        <w:t xml:space="preserve">. Survival Analysis, Stochastic Process. Springer New York. </w:t>
      </w:r>
      <w:hyperlink r:id="rId11">
        <w:r w:rsidRPr="004D7AFD">
          <w:rPr>
            <w:rStyle w:val="Hyperlink"/>
            <w:rFonts w:cs="Times New Roman"/>
          </w:rPr>
          <w:t>https://doi.org/10.1007/978-0-387-68560-1</w:t>
        </w:r>
      </w:hyperlink>
      <w:r w:rsidRPr="004D7AFD">
        <w:rPr>
          <w:rFonts w:cs="Times New Roman"/>
        </w:rPr>
        <w:t>.</w:t>
      </w:r>
    </w:p>
    <w:p w14:paraId="6B3133CC" w14:textId="77777777" w:rsidR="00697045" w:rsidRPr="004D7AFD" w:rsidRDefault="00000000">
      <w:pPr>
        <w:pStyle w:val="Bibliography"/>
        <w:rPr>
          <w:rFonts w:cs="Times New Roman"/>
        </w:rPr>
      </w:pPr>
      <w:bookmarkStart w:id="45" w:name="ref-Aalen.Johansen_1978"/>
      <w:bookmarkEnd w:id="43"/>
      <w:r w:rsidRPr="004D7AFD">
        <w:rPr>
          <w:rFonts w:cs="Times New Roman"/>
        </w:rPr>
        <w:t xml:space="preserve">Aalen, Odd O., and Søren Johansen. 1978. “An Empirical Transition Matrix for Non-Homogeneous Markov Chains Based on Censored Observations.” Duration, mult-state, counting process. </w:t>
      </w:r>
      <w:r w:rsidRPr="004D7AFD">
        <w:rPr>
          <w:rFonts w:cs="Times New Roman"/>
          <w:i/>
          <w:iCs/>
        </w:rPr>
        <w:t>Scandinavian Journal of Statistics</w:t>
      </w:r>
      <w:r w:rsidRPr="004D7AFD">
        <w:rPr>
          <w:rFonts w:cs="Times New Roman"/>
        </w:rPr>
        <w:t xml:space="preserve"> 5 (3): 141–50. </w:t>
      </w:r>
      <w:hyperlink r:id="rId12">
        <w:r w:rsidRPr="004D7AFD">
          <w:rPr>
            <w:rStyle w:val="Hyperlink"/>
            <w:rFonts w:cs="Times New Roman"/>
          </w:rPr>
          <w:t>http://www.jstor.org/stable/4615704</w:t>
        </w:r>
      </w:hyperlink>
      <w:r w:rsidRPr="004D7AFD">
        <w:rPr>
          <w:rFonts w:cs="Times New Roman"/>
        </w:rPr>
        <w:t>.</w:t>
      </w:r>
    </w:p>
    <w:p w14:paraId="599D05E7" w14:textId="77777777" w:rsidR="00697045" w:rsidRPr="004D7AFD" w:rsidRDefault="00000000">
      <w:pPr>
        <w:pStyle w:val="Bibliography"/>
        <w:rPr>
          <w:rFonts w:cs="Times New Roman"/>
        </w:rPr>
      </w:pPr>
      <w:bookmarkStart w:id="46" w:name="ref-Aalen.etal_2014"/>
      <w:bookmarkEnd w:id="45"/>
      <w:r w:rsidRPr="004D7AFD">
        <w:rPr>
          <w:rFonts w:cs="Times New Roman"/>
        </w:rPr>
        <w:t xml:space="preserve">Aalen, Odd O., Morten Valberg, Tom Grotmol, and Steinar Tretli. 2014. “Understanding Variation in Disease Risk: The Elusive Concept of Frailty.” Frailty, duration. </w:t>
      </w:r>
      <w:r w:rsidRPr="004D7AFD">
        <w:rPr>
          <w:rFonts w:cs="Times New Roman"/>
          <w:i/>
          <w:iCs/>
        </w:rPr>
        <w:t>International Journal of Epidemiology</w:t>
      </w:r>
      <w:r w:rsidRPr="004D7AFD">
        <w:rPr>
          <w:rFonts w:cs="Times New Roman"/>
        </w:rPr>
        <w:t xml:space="preserve"> 44 (4): 1408–21. </w:t>
      </w:r>
      <w:hyperlink r:id="rId13">
        <w:r w:rsidRPr="004D7AFD">
          <w:rPr>
            <w:rStyle w:val="Hyperlink"/>
            <w:rFonts w:cs="Times New Roman"/>
          </w:rPr>
          <w:t>https://doi.org/10.1093/ije/dyu192</w:t>
        </w:r>
      </w:hyperlink>
      <w:r w:rsidRPr="004D7AFD">
        <w:rPr>
          <w:rFonts w:cs="Times New Roman"/>
        </w:rPr>
        <w:t>.</w:t>
      </w:r>
    </w:p>
    <w:p w14:paraId="77F8653A" w14:textId="77777777" w:rsidR="00697045" w:rsidRPr="004D7AFD" w:rsidRDefault="00000000">
      <w:pPr>
        <w:pStyle w:val="Bibliography"/>
        <w:rPr>
          <w:rFonts w:cs="Times New Roman"/>
        </w:rPr>
      </w:pPr>
      <w:bookmarkStart w:id="47" w:name="ref-Albrecht.Verbrugge_2003"/>
      <w:bookmarkEnd w:id="46"/>
      <w:r w:rsidRPr="004D7AFD">
        <w:rPr>
          <w:rFonts w:cs="Times New Roman"/>
        </w:rPr>
        <w:t xml:space="preserve">Albrecht, Gary L., and Lois M. Verbrugge. 2003. “The Global Emergence of Disability.” In </w:t>
      </w:r>
      <w:r w:rsidRPr="004D7AFD">
        <w:rPr>
          <w:rFonts w:cs="Times New Roman"/>
          <w:i/>
          <w:iCs/>
        </w:rPr>
        <w:t>Handbook of Social Studies in Health and Medicine</w:t>
      </w:r>
      <w:r w:rsidRPr="004D7AFD">
        <w:rPr>
          <w:rFonts w:cs="Times New Roman"/>
        </w:rPr>
        <w:t>, edited by Gary L Albrecht, Ray Fitzpatrick, and Susan C Scrimshaw, 293–307. London: Sage.</w:t>
      </w:r>
    </w:p>
    <w:p w14:paraId="0F505B02" w14:textId="77777777" w:rsidR="00697045" w:rsidRPr="004D7AFD" w:rsidRDefault="00000000">
      <w:pPr>
        <w:pStyle w:val="Bibliography"/>
        <w:rPr>
          <w:rFonts w:cs="Times New Roman"/>
        </w:rPr>
      </w:pPr>
      <w:bookmarkStart w:id="48" w:name="ref-Alisch.etal_2012"/>
      <w:bookmarkEnd w:id="47"/>
      <w:r w:rsidRPr="004D7AFD">
        <w:rPr>
          <w:rFonts w:cs="Times New Roman"/>
        </w:rPr>
        <w:t xml:space="preserve">Alisch, R. S., B. G. Barwick, P. Chopra, L. K. Myrick, G. A. Satten, K. N. Conneely, and S. T. Warren. 2012. “Age-Associated DNA Methylation in Pediatric Populations.” </w:t>
      </w:r>
      <w:r w:rsidRPr="004D7AFD">
        <w:rPr>
          <w:rFonts w:cs="Times New Roman"/>
          <w:i/>
          <w:iCs/>
        </w:rPr>
        <w:t>Genome Research</w:t>
      </w:r>
      <w:r w:rsidRPr="004D7AFD">
        <w:rPr>
          <w:rFonts w:cs="Times New Roman"/>
        </w:rPr>
        <w:t xml:space="preserve"> 22 (4): 623–32. </w:t>
      </w:r>
      <w:hyperlink r:id="rId14">
        <w:r w:rsidRPr="004D7AFD">
          <w:rPr>
            <w:rStyle w:val="Hyperlink"/>
            <w:rFonts w:cs="Times New Roman"/>
          </w:rPr>
          <w:t>https://doi.org/10.1101/gr.125187.111</w:t>
        </w:r>
      </w:hyperlink>
      <w:r w:rsidRPr="004D7AFD">
        <w:rPr>
          <w:rFonts w:cs="Times New Roman"/>
        </w:rPr>
        <w:t>.</w:t>
      </w:r>
    </w:p>
    <w:p w14:paraId="18C015CC" w14:textId="77777777" w:rsidR="00697045" w:rsidRPr="004D7AFD" w:rsidRDefault="00000000">
      <w:pPr>
        <w:pStyle w:val="Bibliography"/>
        <w:rPr>
          <w:rFonts w:cs="Times New Roman"/>
        </w:rPr>
      </w:pPr>
      <w:bookmarkStart w:id="49" w:name="ref-Altman_2001"/>
      <w:bookmarkEnd w:id="48"/>
      <w:r w:rsidRPr="004D7AFD">
        <w:rPr>
          <w:rFonts w:cs="Times New Roman"/>
        </w:rPr>
        <w:t xml:space="preserve">Altman, Barbara M. 2001. “Definitions, Models, Classifications, Schemes, and Applications.” In </w:t>
      </w:r>
      <w:r w:rsidRPr="004D7AFD">
        <w:rPr>
          <w:rFonts w:cs="Times New Roman"/>
          <w:i/>
          <w:iCs/>
        </w:rPr>
        <w:t>Handbook of Disability Studies</w:t>
      </w:r>
      <w:r w:rsidRPr="004D7AFD">
        <w:rPr>
          <w:rFonts w:cs="Times New Roman"/>
        </w:rPr>
        <w:t xml:space="preserve">, 97–122. SAGE Publications, Inc. </w:t>
      </w:r>
      <w:hyperlink r:id="rId15">
        <w:r w:rsidRPr="004D7AFD">
          <w:rPr>
            <w:rStyle w:val="Hyperlink"/>
            <w:rFonts w:cs="Times New Roman"/>
          </w:rPr>
          <w:t>https://doi.org/10.4135/9781412976251.n4</w:t>
        </w:r>
      </w:hyperlink>
      <w:r w:rsidRPr="004D7AFD">
        <w:rPr>
          <w:rFonts w:cs="Times New Roman"/>
        </w:rPr>
        <w:t>.</w:t>
      </w:r>
    </w:p>
    <w:p w14:paraId="1C11042F" w14:textId="77777777" w:rsidR="00697045" w:rsidRPr="004D7AFD" w:rsidRDefault="00000000">
      <w:pPr>
        <w:pStyle w:val="Bibliography"/>
        <w:rPr>
          <w:rFonts w:cs="Times New Roman"/>
        </w:rPr>
      </w:pPr>
      <w:bookmarkStart w:id="50" w:name="ref-An.Yung_2014"/>
      <w:bookmarkEnd w:id="49"/>
      <w:r w:rsidRPr="004D7AFD">
        <w:rPr>
          <w:rFonts w:cs="Times New Roman"/>
        </w:rPr>
        <w:t xml:space="preserve">An, Xinming, and Yiu-Fai Yung. 2014. “Item Response Theory: What It Is and How You Can Use the IRT Procedure to Apply It.” DFA, IRT, SAS. </w:t>
      </w:r>
      <w:r w:rsidRPr="004D7AFD">
        <w:rPr>
          <w:rFonts w:cs="Times New Roman"/>
          <w:i/>
          <w:iCs/>
        </w:rPr>
        <w:t>SAS Institute Inc. SAS364-2014</w:t>
      </w:r>
      <w:r w:rsidRPr="004D7AFD">
        <w:rPr>
          <w:rFonts w:cs="Times New Roman"/>
        </w:rPr>
        <w:t xml:space="preserve">. </w:t>
      </w:r>
      <w:hyperlink r:id="rId16">
        <w:r w:rsidRPr="004D7AFD">
          <w:rPr>
            <w:rStyle w:val="Hyperlink"/>
            <w:rFonts w:cs="Times New Roman"/>
          </w:rPr>
          <w:t>https://pdfs.semanticscholar.org/d85a/7025441f5685b287b53234ce6456dcd40192.pdf</w:t>
        </w:r>
      </w:hyperlink>
      <w:r w:rsidRPr="004D7AFD">
        <w:rPr>
          <w:rFonts w:cs="Times New Roman"/>
        </w:rPr>
        <w:t>.</w:t>
      </w:r>
    </w:p>
    <w:p w14:paraId="53DA4714" w14:textId="77777777" w:rsidR="00697045" w:rsidRPr="004D7AFD" w:rsidRDefault="00000000">
      <w:pPr>
        <w:pStyle w:val="Bibliography"/>
        <w:rPr>
          <w:rFonts w:cs="Times New Roman"/>
        </w:rPr>
      </w:pPr>
      <w:bookmarkStart w:id="51" w:name="ref-Andersen.etal_1993_Book"/>
      <w:bookmarkEnd w:id="50"/>
      <w:r w:rsidRPr="004D7AFD">
        <w:rPr>
          <w:rFonts w:cs="Times New Roman"/>
        </w:rPr>
        <w:t xml:space="preserve">Andersen, Per Kragh, Ørnulf Borgan, Richard D. Gill, and Niels Keiding. 1993. </w:t>
      </w:r>
      <w:r w:rsidRPr="004D7AFD">
        <w:rPr>
          <w:rFonts w:cs="Times New Roman"/>
          <w:i/>
          <w:iCs/>
        </w:rPr>
        <w:t>Statistical Models Based on Counting Processes</w:t>
      </w:r>
      <w:r w:rsidRPr="004D7AFD">
        <w:rPr>
          <w:rFonts w:cs="Times New Roman"/>
        </w:rPr>
        <w:t xml:space="preserve">. Survival Analysis, Multi-state. Springer-Verlag, New York. </w:t>
      </w:r>
      <w:hyperlink r:id="rId17">
        <w:r w:rsidRPr="004D7AFD">
          <w:rPr>
            <w:rStyle w:val="Hyperlink"/>
            <w:rFonts w:cs="Times New Roman"/>
          </w:rPr>
          <w:t>https://doi.org/10.1007/978-1-4612-4348-9</w:t>
        </w:r>
      </w:hyperlink>
      <w:r w:rsidRPr="004D7AFD">
        <w:rPr>
          <w:rFonts w:cs="Times New Roman"/>
        </w:rPr>
        <w:t>.</w:t>
      </w:r>
    </w:p>
    <w:p w14:paraId="77E5B975" w14:textId="77777777" w:rsidR="00697045" w:rsidRPr="004D7AFD" w:rsidRDefault="00000000">
      <w:pPr>
        <w:pStyle w:val="Bibliography"/>
        <w:rPr>
          <w:rFonts w:cs="Times New Roman"/>
        </w:rPr>
      </w:pPr>
      <w:bookmarkStart w:id="52" w:name="ref-Andersen.Perme_2008"/>
      <w:bookmarkEnd w:id="51"/>
      <w:r w:rsidRPr="004D7AFD">
        <w:rPr>
          <w:rFonts w:cs="Times New Roman"/>
        </w:rPr>
        <w:t xml:space="preserve">Andersen, Per Kragh, and Maja Pohar Perme. 2008. “Inference for Outcome Probabilities in Multi-State Models.” Duation Analysis. </w:t>
      </w:r>
      <w:r w:rsidRPr="004D7AFD">
        <w:rPr>
          <w:rFonts w:cs="Times New Roman"/>
          <w:i/>
          <w:iCs/>
        </w:rPr>
        <w:t>Lifetime Data Analysis</w:t>
      </w:r>
      <w:r w:rsidRPr="004D7AFD">
        <w:rPr>
          <w:rFonts w:cs="Times New Roman"/>
        </w:rPr>
        <w:t xml:space="preserve"> 14 (4): 405–31. </w:t>
      </w:r>
      <w:hyperlink r:id="rId18">
        <w:r w:rsidRPr="004D7AFD">
          <w:rPr>
            <w:rStyle w:val="Hyperlink"/>
            <w:rFonts w:cs="Times New Roman"/>
          </w:rPr>
          <w:t>https://doi.org/10.1007/s10985-008-9097-x</w:t>
        </w:r>
      </w:hyperlink>
      <w:r w:rsidRPr="004D7AFD">
        <w:rPr>
          <w:rFonts w:cs="Times New Roman"/>
        </w:rPr>
        <w:t>.</w:t>
      </w:r>
    </w:p>
    <w:p w14:paraId="4308AC9F" w14:textId="77777777" w:rsidR="00697045" w:rsidRPr="004D7AFD" w:rsidRDefault="00000000">
      <w:pPr>
        <w:pStyle w:val="Bibliography"/>
        <w:rPr>
          <w:rFonts w:cs="Times New Roman"/>
        </w:rPr>
      </w:pPr>
      <w:bookmarkStart w:id="53" w:name="ref-Austad.Fischer_2016"/>
      <w:bookmarkEnd w:id="52"/>
      <w:r w:rsidRPr="004D7AFD">
        <w:rPr>
          <w:rFonts w:cs="Times New Roman"/>
        </w:rPr>
        <w:t xml:space="preserve">Austad, Steven N., and Kathleen E. Fischer. 2016. “Sex Differences in Lifespan.” </w:t>
      </w:r>
      <w:r w:rsidRPr="004D7AFD">
        <w:rPr>
          <w:rFonts w:cs="Times New Roman"/>
          <w:i/>
          <w:iCs/>
        </w:rPr>
        <w:t>Cell Metabolism</w:t>
      </w:r>
      <w:r w:rsidRPr="004D7AFD">
        <w:rPr>
          <w:rFonts w:cs="Times New Roman"/>
        </w:rPr>
        <w:t xml:space="preserve"> 23 (6): 1022–33. </w:t>
      </w:r>
      <w:hyperlink r:id="rId19">
        <w:r w:rsidRPr="004D7AFD">
          <w:rPr>
            <w:rStyle w:val="Hyperlink"/>
            <w:rFonts w:cs="Times New Roman"/>
          </w:rPr>
          <w:t>https://doi.org/10.1016/j.cmet.2016.05.019</w:t>
        </w:r>
      </w:hyperlink>
      <w:r w:rsidRPr="004D7AFD">
        <w:rPr>
          <w:rFonts w:cs="Times New Roman"/>
        </w:rPr>
        <w:t>.</w:t>
      </w:r>
    </w:p>
    <w:p w14:paraId="3ED337FD" w14:textId="77777777" w:rsidR="00697045" w:rsidRPr="004D7AFD" w:rsidRDefault="00000000">
      <w:pPr>
        <w:pStyle w:val="Bibliography"/>
        <w:rPr>
          <w:rFonts w:cs="Times New Roman"/>
        </w:rPr>
      </w:pPr>
      <w:bookmarkStart w:id="54" w:name="ref-Barbara.etal_2017"/>
      <w:bookmarkEnd w:id="53"/>
      <w:r w:rsidRPr="004D7AFD">
        <w:rPr>
          <w:rFonts w:cs="Times New Roman"/>
        </w:rPr>
        <w:t xml:space="preserve">Barbara, Maria Andria, Ylenia Abdilla, and Jean Calleja-Agius. 2017. “An Introduction to Epigenetics.” </w:t>
      </w:r>
      <w:r w:rsidRPr="004D7AFD">
        <w:rPr>
          <w:rFonts w:cs="Times New Roman"/>
          <w:i/>
          <w:iCs/>
        </w:rPr>
        <w:t>Neonatal Network</w:t>
      </w:r>
      <w:r w:rsidRPr="004D7AFD">
        <w:rPr>
          <w:rFonts w:cs="Times New Roman"/>
        </w:rPr>
        <w:t xml:space="preserve"> 36 (3): 124–28. </w:t>
      </w:r>
      <w:hyperlink r:id="rId20">
        <w:r w:rsidRPr="004D7AFD">
          <w:rPr>
            <w:rStyle w:val="Hyperlink"/>
            <w:rFonts w:cs="Times New Roman"/>
          </w:rPr>
          <w:t>https://doi.org/10.1891/0730-0832.36.3.124</w:t>
        </w:r>
      </w:hyperlink>
      <w:r w:rsidRPr="004D7AFD">
        <w:rPr>
          <w:rFonts w:cs="Times New Roman"/>
        </w:rPr>
        <w:t>.</w:t>
      </w:r>
    </w:p>
    <w:p w14:paraId="4817B1C9" w14:textId="77777777" w:rsidR="00697045" w:rsidRPr="004D7AFD" w:rsidRDefault="00000000">
      <w:pPr>
        <w:pStyle w:val="Bibliography"/>
        <w:rPr>
          <w:rFonts w:cs="Times New Roman"/>
        </w:rPr>
      </w:pPr>
      <w:bookmarkStart w:id="55" w:name="ref-Barker_1990"/>
      <w:bookmarkEnd w:id="54"/>
      <w:r w:rsidRPr="004D7AFD">
        <w:rPr>
          <w:rFonts w:cs="Times New Roman"/>
        </w:rPr>
        <w:t xml:space="preserve">Barker, David J. P. 1990. “The Fetal and Infant Origins of Adult Disease.” </w:t>
      </w:r>
      <w:r w:rsidRPr="004D7AFD">
        <w:rPr>
          <w:rFonts w:cs="Times New Roman"/>
          <w:i/>
          <w:iCs/>
        </w:rPr>
        <w:t>BMJ: British Medical Journal</w:t>
      </w:r>
      <w:r w:rsidRPr="004D7AFD">
        <w:rPr>
          <w:rFonts w:cs="Times New Roman"/>
        </w:rPr>
        <w:t xml:space="preserve"> 301 (6761): 1111.</w:t>
      </w:r>
    </w:p>
    <w:p w14:paraId="500C53CB" w14:textId="77777777" w:rsidR="00697045" w:rsidRPr="004D7AFD" w:rsidRDefault="00000000">
      <w:pPr>
        <w:pStyle w:val="Bibliography"/>
        <w:rPr>
          <w:rFonts w:cs="Times New Roman"/>
        </w:rPr>
      </w:pPr>
      <w:bookmarkStart w:id="56" w:name="ref-Barker_1998"/>
      <w:bookmarkEnd w:id="55"/>
      <w:r w:rsidRPr="004D7AFD">
        <w:rPr>
          <w:rFonts w:cs="Times New Roman"/>
        </w:rPr>
        <w:lastRenderedPageBreak/>
        <w:t xml:space="preserve">———. 1998. “In Utero Programming of Chronic Disease.” </w:t>
      </w:r>
      <w:r w:rsidRPr="004D7AFD">
        <w:rPr>
          <w:rFonts w:cs="Times New Roman"/>
          <w:i/>
          <w:iCs/>
        </w:rPr>
        <w:t>Clinical Science</w:t>
      </w:r>
      <w:r w:rsidRPr="004D7AFD">
        <w:rPr>
          <w:rFonts w:cs="Times New Roman"/>
        </w:rPr>
        <w:t xml:space="preserve"> 95 (2): 115–28. </w:t>
      </w:r>
      <w:hyperlink r:id="rId21">
        <w:r w:rsidRPr="004D7AFD">
          <w:rPr>
            <w:rStyle w:val="Hyperlink"/>
            <w:rFonts w:cs="Times New Roman"/>
          </w:rPr>
          <w:t>https://doi.org/10.1042/cs0950115</w:t>
        </w:r>
      </w:hyperlink>
      <w:r w:rsidRPr="004D7AFD">
        <w:rPr>
          <w:rFonts w:cs="Times New Roman"/>
        </w:rPr>
        <w:t>.</w:t>
      </w:r>
    </w:p>
    <w:p w14:paraId="03F7828B" w14:textId="77777777" w:rsidR="00697045" w:rsidRPr="004D7AFD" w:rsidRDefault="00000000">
      <w:pPr>
        <w:pStyle w:val="Bibliography"/>
        <w:rPr>
          <w:rFonts w:cs="Times New Roman"/>
        </w:rPr>
      </w:pPr>
      <w:bookmarkStart w:id="57" w:name="ref-Barker_2007"/>
      <w:bookmarkEnd w:id="56"/>
      <w:r w:rsidRPr="004D7AFD">
        <w:rPr>
          <w:rFonts w:cs="Times New Roman"/>
        </w:rPr>
        <w:t xml:space="preserve">———. 2007. “The Origins of the Developmental Origins Theory.” Developmental origin of health. </w:t>
      </w:r>
      <w:r w:rsidRPr="004D7AFD">
        <w:rPr>
          <w:rFonts w:cs="Times New Roman"/>
          <w:i/>
          <w:iCs/>
        </w:rPr>
        <w:t>Journal of Internal Medicine</w:t>
      </w:r>
      <w:r w:rsidRPr="004D7AFD">
        <w:rPr>
          <w:rFonts w:cs="Times New Roman"/>
        </w:rPr>
        <w:t xml:space="preserve"> 261 (5): 412–17. </w:t>
      </w:r>
      <w:hyperlink r:id="rId22">
        <w:r w:rsidRPr="004D7AFD">
          <w:rPr>
            <w:rStyle w:val="Hyperlink"/>
            <w:rFonts w:cs="Times New Roman"/>
          </w:rPr>
          <w:t>https://doi.org/10.1111/j.1365-2796.2007.01809.x</w:t>
        </w:r>
      </w:hyperlink>
      <w:r w:rsidRPr="004D7AFD">
        <w:rPr>
          <w:rFonts w:cs="Times New Roman"/>
        </w:rPr>
        <w:t>.</w:t>
      </w:r>
    </w:p>
    <w:p w14:paraId="4957C245" w14:textId="77777777" w:rsidR="00697045" w:rsidRPr="004D7AFD" w:rsidRDefault="00000000">
      <w:pPr>
        <w:pStyle w:val="Bibliography"/>
        <w:rPr>
          <w:rFonts w:cs="Times New Roman"/>
        </w:rPr>
      </w:pPr>
      <w:bookmarkStart w:id="58" w:name="ref-Barondes_1999_Book"/>
      <w:bookmarkEnd w:id="57"/>
      <w:r w:rsidRPr="004D7AFD">
        <w:rPr>
          <w:rFonts w:cs="Times New Roman"/>
        </w:rPr>
        <w:t xml:space="preserve">Barondes, Samuel. 1999. </w:t>
      </w:r>
      <w:r w:rsidRPr="004D7AFD">
        <w:rPr>
          <w:rFonts w:cs="Times New Roman"/>
          <w:i/>
          <w:iCs/>
        </w:rPr>
        <w:t>Molecules and Mental Illness</w:t>
      </w:r>
      <w:r w:rsidRPr="004D7AFD">
        <w:rPr>
          <w:rFonts w:cs="Times New Roman"/>
        </w:rPr>
        <w:t>. Scientific American Library.</w:t>
      </w:r>
    </w:p>
    <w:p w14:paraId="46C4BE9D" w14:textId="77777777" w:rsidR="00697045" w:rsidRPr="004D7AFD" w:rsidRDefault="00000000">
      <w:pPr>
        <w:pStyle w:val="Bibliography"/>
        <w:rPr>
          <w:rFonts w:cs="Times New Roman"/>
        </w:rPr>
      </w:pPr>
      <w:bookmarkStart w:id="59" w:name="ref-Barres.Zierath_2011"/>
      <w:bookmarkEnd w:id="58"/>
      <w:r w:rsidRPr="004D7AFD">
        <w:rPr>
          <w:rFonts w:cs="Times New Roman"/>
        </w:rPr>
        <w:t xml:space="preserve">Barres, Romain, and Juleen R Zierath. 2011. “DNA methylation in metabolic disorders.” </w:t>
      </w:r>
      <w:r w:rsidRPr="004D7AFD">
        <w:rPr>
          <w:rFonts w:cs="Times New Roman"/>
          <w:i/>
          <w:iCs/>
        </w:rPr>
        <w:t>The American Journal of Clinical Nutrition</w:t>
      </w:r>
      <w:r w:rsidRPr="004D7AFD">
        <w:rPr>
          <w:rFonts w:cs="Times New Roman"/>
        </w:rPr>
        <w:t xml:space="preserve"> 93 (4): 897S–900S. </w:t>
      </w:r>
      <w:hyperlink r:id="rId23">
        <w:r w:rsidRPr="004D7AFD">
          <w:rPr>
            <w:rStyle w:val="Hyperlink"/>
            <w:rFonts w:cs="Times New Roman"/>
          </w:rPr>
          <w:t>https://doi.org/10.3945/ajcn.110.001933</w:t>
        </w:r>
      </w:hyperlink>
      <w:r w:rsidRPr="004D7AFD">
        <w:rPr>
          <w:rFonts w:cs="Times New Roman"/>
        </w:rPr>
        <w:t>.</w:t>
      </w:r>
    </w:p>
    <w:p w14:paraId="04D155F2" w14:textId="77777777" w:rsidR="00697045" w:rsidRPr="004D7AFD" w:rsidRDefault="00000000">
      <w:pPr>
        <w:pStyle w:val="Bibliography"/>
        <w:rPr>
          <w:rFonts w:cs="Times New Roman"/>
        </w:rPr>
      </w:pPr>
      <w:bookmarkStart w:id="60" w:name="ref-Uestuen.etal_2010"/>
      <w:bookmarkEnd w:id="59"/>
      <w:r w:rsidRPr="004D7AFD">
        <w:rPr>
          <w:rFonts w:cs="Times New Roman"/>
        </w:rPr>
        <w:t xml:space="preserve">Bedirhan, Otsun T, Somnath Chatterji, Nenad Kostanjsek, Jorgen Rehm, Cille Kennedy, Joanne Epping-Jordan, Shekhar Saxena, Michael von Korff, and Charles Pull. 2010. “Developing the World Health Organization Disability Assessment Schedule 2.0.” </w:t>
      </w:r>
      <w:r w:rsidRPr="004D7AFD">
        <w:rPr>
          <w:rFonts w:cs="Times New Roman"/>
          <w:i/>
          <w:iCs/>
        </w:rPr>
        <w:t>Bulletin of the World Health Organization</w:t>
      </w:r>
      <w:r w:rsidRPr="004D7AFD">
        <w:rPr>
          <w:rFonts w:cs="Times New Roman"/>
        </w:rPr>
        <w:t xml:space="preserve"> 88 (11): 815–23. </w:t>
      </w:r>
      <w:hyperlink r:id="rId24">
        <w:r w:rsidRPr="004D7AFD">
          <w:rPr>
            <w:rStyle w:val="Hyperlink"/>
            <w:rFonts w:cs="Times New Roman"/>
          </w:rPr>
          <w:t>https://doi.org/10.2471/blt.09.067231</w:t>
        </w:r>
      </w:hyperlink>
      <w:r w:rsidRPr="004D7AFD">
        <w:rPr>
          <w:rFonts w:cs="Times New Roman"/>
        </w:rPr>
        <w:t>.</w:t>
      </w:r>
    </w:p>
    <w:p w14:paraId="6DDACE46" w14:textId="77777777" w:rsidR="00697045" w:rsidRPr="004D7AFD" w:rsidRDefault="00000000">
      <w:pPr>
        <w:pStyle w:val="Bibliography"/>
        <w:rPr>
          <w:rFonts w:cs="Times New Roman"/>
        </w:rPr>
      </w:pPr>
      <w:bookmarkStart w:id="61" w:name="ref-Blair.etal_1989"/>
      <w:bookmarkEnd w:id="60"/>
      <w:r w:rsidRPr="004D7AFD">
        <w:rPr>
          <w:rFonts w:cs="Times New Roman"/>
        </w:rPr>
        <w:t xml:space="preserve">Blair, Steven N., III Kohl Harold W., Jr Paffenbarger Ralph S., Debra G. Clark, Kenneth H. Cooper, and Larry W. Gibbons. 1989. “Physical Fitness and All-Cause Mortality: A Prospective Study of Healthy Men and Women.” </w:t>
      </w:r>
      <w:r w:rsidRPr="004D7AFD">
        <w:rPr>
          <w:rFonts w:cs="Times New Roman"/>
          <w:i/>
          <w:iCs/>
        </w:rPr>
        <w:t>JAMA</w:t>
      </w:r>
      <w:r w:rsidRPr="004D7AFD">
        <w:rPr>
          <w:rFonts w:cs="Times New Roman"/>
        </w:rPr>
        <w:t xml:space="preserve"> 262 (17): 2395–2401. </w:t>
      </w:r>
      <w:hyperlink r:id="rId25">
        <w:r w:rsidRPr="004D7AFD">
          <w:rPr>
            <w:rStyle w:val="Hyperlink"/>
            <w:rFonts w:cs="Times New Roman"/>
          </w:rPr>
          <w:t>https://doi.org/10.1001/jama.1989.03430170057028</w:t>
        </w:r>
      </w:hyperlink>
      <w:r w:rsidRPr="004D7AFD">
        <w:rPr>
          <w:rFonts w:cs="Times New Roman"/>
        </w:rPr>
        <w:t>.</w:t>
      </w:r>
    </w:p>
    <w:p w14:paraId="7E283775" w14:textId="77777777" w:rsidR="00697045" w:rsidRPr="004D7AFD" w:rsidRDefault="00000000">
      <w:pPr>
        <w:pStyle w:val="Bibliography"/>
        <w:rPr>
          <w:rFonts w:cs="Times New Roman"/>
        </w:rPr>
      </w:pPr>
      <w:bookmarkStart w:id="62" w:name="ref-Boks.etal_2009"/>
      <w:bookmarkEnd w:id="61"/>
      <w:r w:rsidRPr="004D7AFD">
        <w:rPr>
          <w:rFonts w:cs="Times New Roman"/>
        </w:rPr>
        <w:t xml:space="preserve">Boks, Marco P., Eske M. Derks, Daniel J. Weisenberger, Erik Strengman, Esther Janson, Iris E. Sommer, René S. Kahn, and Roel A. Ophoff. 2009. “The Relationship of DNA Methylation with Age, Gender and Genotype in Twins and Healthy Controls.” Edited by Joseph Najbauer. </w:t>
      </w:r>
      <w:r w:rsidRPr="004D7AFD">
        <w:rPr>
          <w:rFonts w:cs="Times New Roman"/>
          <w:i/>
          <w:iCs/>
        </w:rPr>
        <w:t>PLoS ONE</w:t>
      </w:r>
      <w:r w:rsidRPr="004D7AFD">
        <w:rPr>
          <w:rFonts w:cs="Times New Roman"/>
        </w:rPr>
        <w:t xml:space="preserve"> 4 (8): e6767. </w:t>
      </w:r>
      <w:hyperlink r:id="rId26">
        <w:r w:rsidRPr="004D7AFD">
          <w:rPr>
            <w:rStyle w:val="Hyperlink"/>
            <w:rFonts w:cs="Times New Roman"/>
          </w:rPr>
          <w:t>https://doi.org/10.1371/journal.pone.0006767</w:t>
        </w:r>
      </w:hyperlink>
      <w:r w:rsidRPr="004D7AFD">
        <w:rPr>
          <w:rFonts w:cs="Times New Roman"/>
        </w:rPr>
        <w:t>.</w:t>
      </w:r>
    </w:p>
    <w:p w14:paraId="67E47039" w14:textId="77777777" w:rsidR="00697045" w:rsidRPr="004D7AFD" w:rsidRDefault="00000000">
      <w:pPr>
        <w:pStyle w:val="Bibliography"/>
        <w:rPr>
          <w:rFonts w:cs="Times New Roman"/>
        </w:rPr>
      </w:pPr>
      <w:bookmarkStart w:id="63" w:name="ref-Bookman.etal_2011"/>
      <w:bookmarkEnd w:id="62"/>
      <w:r w:rsidRPr="004D7AFD">
        <w:rPr>
          <w:rFonts w:cs="Times New Roman"/>
        </w:rPr>
        <w:t xml:space="preserve">Bookman, Ebony B., Kimberly McAllister, Elizabeth Gillanders, Kay Wanke, David Balshaw, Joni Rutter, Jill Reedy, et al. 2011. “Gene-Environment Interplay in Common Complex Diseases: Forging an Integrative Model-Recommendations from an NIH Workshop.” </w:t>
      </w:r>
      <w:r w:rsidRPr="004D7AFD">
        <w:rPr>
          <w:rFonts w:cs="Times New Roman"/>
          <w:i/>
          <w:iCs/>
        </w:rPr>
        <w:t>Genetic Epidemiology</w:t>
      </w:r>
      <w:r w:rsidRPr="004D7AFD">
        <w:rPr>
          <w:rFonts w:cs="Times New Roman"/>
        </w:rPr>
        <w:t xml:space="preserve">. </w:t>
      </w:r>
      <w:hyperlink r:id="rId27">
        <w:r w:rsidRPr="004D7AFD">
          <w:rPr>
            <w:rStyle w:val="Hyperlink"/>
            <w:rFonts w:cs="Times New Roman"/>
          </w:rPr>
          <w:t>https://doi.org/10.1002/gepi.20571</w:t>
        </w:r>
      </w:hyperlink>
      <w:r w:rsidRPr="004D7AFD">
        <w:rPr>
          <w:rFonts w:cs="Times New Roman"/>
        </w:rPr>
        <w:t>.</w:t>
      </w:r>
    </w:p>
    <w:p w14:paraId="41B22A20" w14:textId="77777777" w:rsidR="00697045" w:rsidRPr="004D7AFD" w:rsidRDefault="00000000">
      <w:pPr>
        <w:pStyle w:val="Bibliography"/>
        <w:rPr>
          <w:rFonts w:cs="Times New Roman"/>
        </w:rPr>
      </w:pPr>
      <w:bookmarkStart w:id="64" w:name="ref-Budreviciute.etal_2020"/>
      <w:bookmarkEnd w:id="63"/>
      <w:r w:rsidRPr="004D7AFD">
        <w:rPr>
          <w:rFonts w:cs="Times New Roman"/>
        </w:rPr>
        <w:t xml:space="preserve">Budreviciute, Aida, Samar Damiati, Dana Khdr Sabir, Kamil Onder, Peter Schuller-Goetzburg, Gediminas Plakys, Agne Katileviciute, Samir Khoja, and Rimantas Kodzius. 2020. “Management and Prevention Strategies for Non-Communicable Diseases (NCDs) and Their Risk Factors.” </w:t>
      </w:r>
      <w:r w:rsidRPr="004D7AFD">
        <w:rPr>
          <w:rFonts w:cs="Times New Roman"/>
          <w:i/>
          <w:iCs/>
        </w:rPr>
        <w:t>Frontiers in Public Health</w:t>
      </w:r>
      <w:r w:rsidRPr="004D7AFD">
        <w:rPr>
          <w:rFonts w:cs="Times New Roman"/>
        </w:rPr>
        <w:t xml:space="preserve"> 8 (November). </w:t>
      </w:r>
      <w:hyperlink r:id="rId28">
        <w:r w:rsidRPr="004D7AFD">
          <w:rPr>
            <w:rStyle w:val="Hyperlink"/>
            <w:rFonts w:cs="Times New Roman"/>
          </w:rPr>
          <w:t>https://doi.org/10.3389/fpubh.2020.574111</w:t>
        </w:r>
      </w:hyperlink>
      <w:r w:rsidRPr="004D7AFD">
        <w:rPr>
          <w:rFonts w:cs="Times New Roman"/>
        </w:rPr>
        <w:t>.</w:t>
      </w:r>
    </w:p>
    <w:p w14:paraId="6B06EB48" w14:textId="77777777" w:rsidR="00697045" w:rsidRPr="004D7AFD" w:rsidRDefault="00000000">
      <w:pPr>
        <w:pStyle w:val="Bibliography"/>
        <w:rPr>
          <w:rFonts w:cs="Times New Roman"/>
        </w:rPr>
      </w:pPr>
      <w:bookmarkStart w:id="65" w:name="ref-Bugliari.etal_2016"/>
      <w:bookmarkEnd w:id="64"/>
      <w:r w:rsidRPr="004D7AFD">
        <w:rPr>
          <w:rFonts w:cs="Times New Roman"/>
        </w:rPr>
        <w:t xml:space="preserve">Bugliari, Delia, Nancy Campbell, Chris Chan, Orla Hayden, Michael Hurd, Regan Main, Joshua Mallett, et al. 2016. “RAND HRS Data Documentation, Version p.” Technical report. RAND Center for the Study of Aging. </w:t>
      </w:r>
      <w:hyperlink r:id="rId29">
        <w:r w:rsidRPr="004D7AFD">
          <w:rPr>
            <w:rStyle w:val="Hyperlink"/>
            <w:rFonts w:cs="Times New Roman"/>
          </w:rPr>
          <w:t>https://www.rand.org/content/dam/rand/www/external/labor/aging/dataprod/randhrs1992_2014v2.pdf</w:t>
        </w:r>
      </w:hyperlink>
      <w:r w:rsidRPr="004D7AFD">
        <w:rPr>
          <w:rFonts w:cs="Times New Roman"/>
        </w:rPr>
        <w:t>.</w:t>
      </w:r>
    </w:p>
    <w:p w14:paraId="037D2B50" w14:textId="77777777" w:rsidR="00697045" w:rsidRPr="004D7AFD" w:rsidRDefault="00000000">
      <w:pPr>
        <w:pStyle w:val="Bibliography"/>
        <w:rPr>
          <w:rFonts w:cs="Times New Roman"/>
        </w:rPr>
      </w:pPr>
      <w:bookmarkStart w:id="66" w:name="ref-Cai.etal_2016"/>
      <w:bookmarkEnd w:id="65"/>
      <w:r w:rsidRPr="004D7AFD">
        <w:rPr>
          <w:rFonts w:cs="Times New Roman"/>
        </w:rPr>
        <w:lastRenderedPageBreak/>
        <w:t xml:space="preserve">Cai, Li, Kilchan Choi, Mark Hansen, and Lauren Harrell. 2016. “Item Response Theory.” IRT. </w:t>
      </w:r>
      <w:r w:rsidRPr="004D7AFD">
        <w:rPr>
          <w:rFonts w:cs="Times New Roman"/>
          <w:i/>
          <w:iCs/>
        </w:rPr>
        <w:t>Annual Review of Statistics and Its Application</w:t>
      </w:r>
      <w:r w:rsidRPr="004D7AFD">
        <w:rPr>
          <w:rFonts w:cs="Times New Roman"/>
        </w:rPr>
        <w:t xml:space="preserve"> 3 (1): 297–321. </w:t>
      </w:r>
      <w:hyperlink r:id="rId30">
        <w:r w:rsidRPr="004D7AFD">
          <w:rPr>
            <w:rStyle w:val="Hyperlink"/>
            <w:rFonts w:cs="Times New Roman"/>
          </w:rPr>
          <w:t>https://doi.org/10.1146/annurev-statistics-041715-033702</w:t>
        </w:r>
      </w:hyperlink>
      <w:r w:rsidRPr="004D7AFD">
        <w:rPr>
          <w:rFonts w:cs="Times New Roman"/>
        </w:rPr>
        <w:t>.</w:t>
      </w:r>
    </w:p>
    <w:p w14:paraId="73F33CCE" w14:textId="77777777" w:rsidR="00697045" w:rsidRPr="004D7AFD" w:rsidRDefault="00000000">
      <w:pPr>
        <w:pStyle w:val="Bibliography"/>
        <w:rPr>
          <w:rFonts w:cs="Times New Roman"/>
        </w:rPr>
      </w:pPr>
      <w:bookmarkStart w:id="67" w:name="ref-Case.Deaton_2015"/>
      <w:bookmarkEnd w:id="66"/>
      <w:r w:rsidRPr="004D7AFD">
        <w:rPr>
          <w:rFonts w:cs="Times New Roman"/>
        </w:rPr>
        <w:t xml:space="preserve">Case, Anne, and Angus Deaton. 2015. “Rising Morbidity and Mortality in Midlife Among White Non-Hispanic Americans in the 21st Century.” </w:t>
      </w:r>
      <w:r w:rsidRPr="004D7AFD">
        <w:rPr>
          <w:rFonts w:cs="Times New Roman"/>
          <w:i/>
          <w:iCs/>
        </w:rPr>
        <w:t>Proceedings of the National Academy of Sciences</w:t>
      </w:r>
      <w:r w:rsidRPr="004D7AFD">
        <w:rPr>
          <w:rFonts w:cs="Times New Roman"/>
        </w:rPr>
        <w:t xml:space="preserve"> 112 (49): 15078–83. </w:t>
      </w:r>
      <w:hyperlink r:id="rId31">
        <w:r w:rsidRPr="004D7AFD">
          <w:rPr>
            <w:rStyle w:val="Hyperlink"/>
            <w:rFonts w:cs="Times New Roman"/>
          </w:rPr>
          <w:t>https://doi.org/10.1073/pnas.1518393112</w:t>
        </w:r>
      </w:hyperlink>
      <w:r w:rsidRPr="004D7AFD">
        <w:rPr>
          <w:rFonts w:cs="Times New Roman"/>
        </w:rPr>
        <w:t>.</w:t>
      </w:r>
    </w:p>
    <w:p w14:paraId="55709323" w14:textId="77777777" w:rsidR="00697045" w:rsidRPr="004D7AFD" w:rsidRDefault="00000000">
      <w:pPr>
        <w:pStyle w:val="Bibliography"/>
        <w:rPr>
          <w:rFonts w:cs="Times New Roman"/>
        </w:rPr>
      </w:pPr>
      <w:bookmarkStart w:id="68" w:name="ref-Commenges_2002"/>
      <w:bookmarkEnd w:id="67"/>
      <w:r w:rsidRPr="004D7AFD">
        <w:rPr>
          <w:rFonts w:cs="Times New Roman"/>
        </w:rPr>
        <w:t xml:space="preserve">Commenges, D. 2002. “Inference for Multi-State Models from Interval-Censored Data.” </w:t>
      </w:r>
      <w:r w:rsidRPr="004D7AFD">
        <w:rPr>
          <w:rFonts w:cs="Times New Roman"/>
          <w:i/>
          <w:iCs/>
        </w:rPr>
        <w:t>Statistical Methods in Medical Research</w:t>
      </w:r>
      <w:r w:rsidRPr="004D7AFD">
        <w:rPr>
          <w:rFonts w:cs="Times New Roman"/>
        </w:rPr>
        <w:t xml:space="preserve"> 11 (2): 167–82. </w:t>
      </w:r>
      <w:hyperlink r:id="rId32">
        <w:r w:rsidRPr="004D7AFD">
          <w:rPr>
            <w:rStyle w:val="Hyperlink"/>
            <w:rFonts w:cs="Times New Roman"/>
          </w:rPr>
          <w:t>https://doi.org/10.1191/0962280202sm279ra</w:t>
        </w:r>
      </w:hyperlink>
      <w:r w:rsidRPr="004D7AFD">
        <w:rPr>
          <w:rFonts w:cs="Times New Roman"/>
        </w:rPr>
        <w:t>.</w:t>
      </w:r>
    </w:p>
    <w:p w14:paraId="5AC9798F" w14:textId="77777777" w:rsidR="00697045" w:rsidRPr="004D7AFD" w:rsidRDefault="00000000">
      <w:pPr>
        <w:pStyle w:val="Bibliography"/>
        <w:rPr>
          <w:rFonts w:cs="Times New Roman"/>
        </w:rPr>
      </w:pPr>
      <w:bookmarkStart w:id="69" w:name="ref-Conti.etal_2009"/>
      <w:bookmarkEnd w:id="68"/>
      <w:r w:rsidRPr="004D7AFD">
        <w:rPr>
          <w:rFonts w:cs="Times New Roman"/>
        </w:rPr>
        <w:t xml:space="preserve">Conti, Rena M., Ernst R. Berndt, and Richard G. Frank. 2009. “Early Retirement and DI/SSI Applications: Exploring the Impact of Depression.” CESD, HRS, Disability. In </w:t>
      </w:r>
      <w:r w:rsidRPr="004D7AFD">
        <w:rPr>
          <w:rFonts w:cs="Times New Roman"/>
          <w:i/>
          <w:iCs/>
        </w:rPr>
        <w:t>Health at Older Ages: The Causes and Consequences of Declining Disability Among the Elderly</w:t>
      </w:r>
      <w:r w:rsidRPr="004D7AFD">
        <w:rPr>
          <w:rFonts w:cs="Times New Roman"/>
        </w:rPr>
        <w:t xml:space="preserve">, 381–408. NBER Chapters. National Bureau of Economic Research, Inc. </w:t>
      </w:r>
      <w:hyperlink r:id="rId33">
        <w:r w:rsidRPr="004D7AFD">
          <w:rPr>
            <w:rStyle w:val="Hyperlink"/>
            <w:rFonts w:cs="Times New Roman"/>
          </w:rPr>
          <w:t>http://www.nber.org/chapters/c11120.pdf</w:t>
        </w:r>
      </w:hyperlink>
      <w:r w:rsidRPr="004D7AFD">
        <w:rPr>
          <w:rFonts w:cs="Times New Roman"/>
        </w:rPr>
        <w:t>.</w:t>
      </w:r>
    </w:p>
    <w:p w14:paraId="7E49469A" w14:textId="77777777" w:rsidR="00697045" w:rsidRPr="004D7AFD" w:rsidRDefault="00000000">
      <w:pPr>
        <w:pStyle w:val="Bibliography"/>
        <w:rPr>
          <w:rFonts w:cs="Times New Roman"/>
        </w:rPr>
      </w:pPr>
      <w:bookmarkStart w:id="70" w:name="ref-Cook.Lawless_2018_book"/>
      <w:bookmarkEnd w:id="69"/>
      <w:r w:rsidRPr="004D7AFD">
        <w:rPr>
          <w:rFonts w:cs="Times New Roman"/>
        </w:rPr>
        <w:t xml:space="preserve">Cook, Richard J., and Jerald F. Lawless. 2018. </w:t>
      </w:r>
      <w:r w:rsidRPr="004D7AFD">
        <w:rPr>
          <w:rFonts w:cs="Times New Roman"/>
          <w:i/>
          <w:iCs/>
        </w:rPr>
        <w:t>Multistate Models for the Analysis of Life History Data</w:t>
      </w:r>
      <w:r w:rsidRPr="004D7AFD">
        <w:rPr>
          <w:rFonts w:cs="Times New Roman"/>
        </w:rPr>
        <w:t xml:space="preserve">. Frailty, duration, Multi-state. Chapman; Hall/CRC. </w:t>
      </w:r>
      <w:hyperlink r:id="rId34">
        <w:r w:rsidRPr="004D7AFD">
          <w:rPr>
            <w:rStyle w:val="Hyperlink"/>
            <w:rFonts w:cs="Times New Roman"/>
          </w:rPr>
          <w:t>https://doi.org/10.1201/9781315119731</w:t>
        </w:r>
      </w:hyperlink>
      <w:r w:rsidRPr="004D7AFD">
        <w:rPr>
          <w:rFonts w:cs="Times New Roman"/>
        </w:rPr>
        <w:t>.</w:t>
      </w:r>
    </w:p>
    <w:p w14:paraId="5C26721D" w14:textId="77777777" w:rsidR="00697045" w:rsidRPr="004D7AFD" w:rsidRDefault="00000000">
      <w:pPr>
        <w:pStyle w:val="Bibliography"/>
        <w:rPr>
          <w:rFonts w:cs="Times New Roman"/>
        </w:rPr>
      </w:pPr>
      <w:bookmarkStart w:id="71" w:name="ref-DiLoreto.Murphy_2015"/>
      <w:bookmarkEnd w:id="70"/>
      <w:r w:rsidRPr="004D7AFD">
        <w:rPr>
          <w:rFonts w:cs="Times New Roman"/>
        </w:rPr>
        <w:t xml:space="preserve">DiLoreto, Race, and Coleen T. Murphy. 2015. “The Cell Biology of Aging.” Biology of Aging. Edited by William Bement. </w:t>
      </w:r>
      <w:r w:rsidRPr="004D7AFD">
        <w:rPr>
          <w:rFonts w:cs="Times New Roman"/>
          <w:i/>
          <w:iCs/>
        </w:rPr>
        <w:t>Molecular Biology of the Cell</w:t>
      </w:r>
      <w:r w:rsidRPr="004D7AFD">
        <w:rPr>
          <w:rFonts w:cs="Times New Roman"/>
        </w:rPr>
        <w:t xml:space="preserve"> 26 (25): 4524–31. </w:t>
      </w:r>
      <w:hyperlink r:id="rId35">
        <w:r w:rsidRPr="004D7AFD">
          <w:rPr>
            <w:rStyle w:val="Hyperlink"/>
            <w:rFonts w:cs="Times New Roman"/>
          </w:rPr>
          <w:t>https://doi.org/10.1091/mbc.e14-06-1084</w:t>
        </w:r>
      </w:hyperlink>
      <w:r w:rsidRPr="004D7AFD">
        <w:rPr>
          <w:rFonts w:cs="Times New Roman"/>
        </w:rPr>
        <w:t>.</w:t>
      </w:r>
    </w:p>
    <w:p w14:paraId="49F4993A" w14:textId="77777777" w:rsidR="00697045" w:rsidRPr="004D7AFD" w:rsidRDefault="00000000">
      <w:pPr>
        <w:pStyle w:val="Bibliography"/>
        <w:rPr>
          <w:rFonts w:cs="Times New Roman"/>
        </w:rPr>
      </w:pPr>
      <w:bookmarkStart w:id="72" w:name="ref-Elbers.Ridder_1982"/>
      <w:bookmarkEnd w:id="71"/>
      <w:r w:rsidRPr="004D7AFD">
        <w:rPr>
          <w:rFonts w:cs="Times New Roman"/>
        </w:rPr>
        <w:t xml:space="preserve">Elbers, Chris, and Geert Ridder. 1982. “True and Spurious Duration Dependence: The Identifiability of the Proportional Hazard Model.” Frailty, duration. </w:t>
      </w:r>
      <w:r w:rsidRPr="004D7AFD">
        <w:rPr>
          <w:rFonts w:cs="Times New Roman"/>
          <w:i/>
          <w:iCs/>
        </w:rPr>
        <w:t>The Review of Economic Studies</w:t>
      </w:r>
      <w:r w:rsidRPr="004D7AFD">
        <w:rPr>
          <w:rFonts w:cs="Times New Roman"/>
        </w:rPr>
        <w:t xml:space="preserve"> 49 (3): 403–9. </w:t>
      </w:r>
      <w:hyperlink r:id="rId36">
        <w:r w:rsidRPr="004D7AFD">
          <w:rPr>
            <w:rStyle w:val="Hyperlink"/>
            <w:rFonts w:cs="Times New Roman"/>
          </w:rPr>
          <w:t>https://doi.org/10.2307/2297364</w:t>
        </w:r>
      </w:hyperlink>
      <w:r w:rsidRPr="004D7AFD">
        <w:rPr>
          <w:rFonts w:cs="Times New Roman"/>
        </w:rPr>
        <w:t>.</w:t>
      </w:r>
    </w:p>
    <w:p w14:paraId="47A725FA" w14:textId="77777777" w:rsidR="00697045" w:rsidRPr="004D7AFD" w:rsidRDefault="00000000">
      <w:pPr>
        <w:pStyle w:val="Bibliography"/>
        <w:rPr>
          <w:rFonts w:cs="Times New Roman"/>
        </w:rPr>
      </w:pPr>
      <w:bookmarkStart w:id="73" w:name="ref-Embretson.Reise_2000_book"/>
      <w:bookmarkEnd w:id="72"/>
      <w:r w:rsidRPr="004D7AFD">
        <w:rPr>
          <w:rFonts w:cs="Times New Roman"/>
        </w:rPr>
        <w:t xml:space="preserve">Embretson, S. E., and S. P. Reise. 2000. </w:t>
      </w:r>
      <w:r w:rsidRPr="004D7AFD">
        <w:rPr>
          <w:rFonts w:cs="Times New Roman"/>
          <w:i/>
          <w:iCs/>
        </w:rPr>
        <w:t>Item Response Theory</w:t>
      </w:r>
      <w:r w:rsidRPr="004D7AFD">
        <w:rPr>
          <w:rFonts w:cs="Times New Roman"/>
        </w:rPr>
        <w:t xml:space="preserve">. IRT, DFA. Item Response Theory for Psychologists. Taylor &amp; Francis. </w:t>
      </w:r>
      <w:hyperlink r:id="rId37">
        <w:r w:rsidRPr="004D7AFD">
          <w:rPr>
            <w:rStyle w:val="Hyperlink"/>
            <w:rFonts w:cs="Times New Roman"/>
          </w:rPr>
          <w:t>https://books.google.com/books?id=9Xm0AAAAQBAJ</w:t>
        </w:r>
      </w:hyperlink>
      <w:r w:rsidRPr="004D7AFD">
        <w:rPr>
          <w:rFonts w:cs="Times New Roman"/>
        </w:rPr>
        <w:t>.</w:t>
      </w:r>
    </w:p>
    <w:p w14:paraId="7268D4D7" w14:textId="77777777" w:rsidR="00697045" w:rsidRPr="004D7AFD" w:rsidRDefault="00000000">
      <w:pPr>
        <w:pStyle w:val="Bibliography"/>
        <w:rPr>
          <w:rFonts w:cs="Times New Roman"/>
        </w:rPr>
      </w:pPr>
      <w:bookmarkStart w:id="74" w:name="ref-Epel.etal_2004"/>
      <w:bookmarkEnd w:id="73"/>
      <w:r w:rsidRPr="004D7AFD">
        <w:rPr>
          <w:rFonts w:cs="Times New Roman"/>
        </w:rPr>
        <w:t xml:space="preserve">Epel, Elissa S., Elizabeth H. Blackburn, Jue Lin, Firdaus S. Dhabhar, Nancy E. Adler, Jason D. Morrow, and Richard M. Cawthon. 2004. “Accelerated Telomere Shortening in Response to Life Stress.” </w:t>
      </w:r>
      <w:r w:rsidRPr="004D7AFD">
        <w:rPr>
          <w:rFonts w:cs="Times New Roman"/>
          <w:i/>
          <w:iCs/>
        </w:rPr>
        <w:t>Proceedings of the National Academy of Sciences</w:t>
      </w:r>
      <w:r w:rsidRPr="004D7AFD">
        <w:rPr>
          <w:rFonts w:cs="Times New Roman"/>
        </w:rPr>
        <w:t xml:space="preserve"> 101 (49): 17312–15. </w:t>
      </w:r>
      <w:hyperlink r:id="rId38">
        <w:r w:rsidRPr="004D7AFD">
          <w:rPr>
            <w:rStyle w:val="Hyperlink"/>
            <w:rFonts w:cs="Times New Roman"/>
          </w:rPr>
          <w:t>https://doi.org/10.1073/pnas.0407162101</w:t>
        </w:r>
      </w:hyperlink>
      <w:r w:rsidRPr="004D7AFD">
        <w:rPr>
          <w:rFonts w:cs="Times New Roman"/>
        </w:rPr>
        <w:t>.</w:t>
      </w:r>
    </w:p>
    <w:p w14:paraId="3ABA20F6" w14:textId="77777777" w:rsidR="00697045" w:rsidRPr="004D7AFD" w:rsidRDefault="00000000">
      <w:pPr>
        <w:pStyle w:val="Bibliography"/>
        <w:rPr>
          <w:rFonts w:cs="Times New Roman"/>
        </w:rPr>
      </w:pPr>
      <w:bookmarkStart w:id="75" w:name="ref-Esteller_2008"/>
      <w:bookmarkEnd w:id="74"/>
      <w:r w:rsidRPr="004D7AFD">
        <w:rPr>
          <w:rFonts w:cs="Times New Roman"/>
        </w:rPr>
        <w:t xml:space="preserve">Esteller, Manel. 2008. “Epigenetics in Cancer.” Cancer, Epigenetics. </w:t>
      </w:r>
      <w:r w:rsidRPr="004D7AFD">
        <w:rPr>
          <w:rFonts w:cs="Times New Roman"/>
          <w:i/>
          <w:iCs/>
        </w:rPr>
        <w:t>New England Journal of Medicine</w:t>
      </w:r>
      <w:r w:rsidRPr="004D7AFD">
        <w:rPr>
          <w:rFonts w:cs="Times New Roman"/>
        </w:rPr>
        <w:t xml:space="preserve"> 358 (11): 1148–59. </w:t>
      </w:r>
      <w:hyperlink r:id="rId39">
        <w:r w:rsidRPr="004D7AFD">
          <w:rPr>
            <w:rStyle w:val="Hyperlink"/>
            <w:rFonts w:cs="Times New Roman"/>
          </w:rPr>
          <w:t>https://doi.org/10.1056/nejmra072067</w:t>
        </w:r>
      </w:hyperlink>
      <w:r w:rsidRPr="004D7AFD">
        <w:rPr>
          <w:rFonts w:cs="Times New Roman"/>
        </w:rPr>
        <w:t>.</w:t>
      </w:r>
    </w:p>
    <w:p w14:paraId="118F43BA" w14:textId="77777777" w:rsidR="00697045" w:rsidRPr="004D7AFD" w:rsidRDefault="00000000">
      <w:pPr>
        <w:pStyle w:val="Bibliography"/>
        <w:rPr>
          <w:rFonts w:cs="Times New Roman"/>
        </w:rPr>
      </w:pPr>
      <w:bookmarkStart w:id="76" w:name="ref-Fisher.Ryan_2017"/>
      <w:bookmarkEnd w:id="75"/>
      <w:r w:rsidRPr="004D7AFD">
        <w:rPr>
          <w:rFonts w:cs="Times New Roman"/>
        </w:rPr>
        <w:t xml:space="preserve">Fisher, Gwenith G, and Lindsay H Ryan. 2017. “Overview of the Health and Retirement Study and Introduction to the Special Issue.” HRS. Edited by Mo Wang. </w:t>
      </w:r>
      <w:r w:rsidRPr="004D7AFD">
        <w:rPr>
          <w:rFonts w:cs="Times New Roman"/>
          <w:i/>
          <w:iCs/>
        </w:rPr>
        <w:t>Work, Aging and Retirement</w:t>
      </w:r>
      <w:r w:rsidRPr="004D7AFD">
        <w:rPr>
          <w:rFonts w:cs="Times New Roman"/>
        </w:rPr>
        <w:t xml:space="preserve"> 4 (1): 1–9. </w:t>
      </w:r>
      <w:hyperlink r:id="rId40">
        <w:r w:rsidRPr="004D7AFD">
          <w:rPr>
            <w:rStyle w:val="Hyperlink"/>
            <w:rFonts w:cs="Times New Roman"/>
          </w:rPr>
          <w:t>https://doi.org/10.1093/workar/wax032</w:t>
        </w:r>
      </w:hyperlink>
      <w:r w:rsidRPr="004D7AFD">
        <w:rPr>
          <w:rFonts w:cs="Times New Roman"/>
        </w:rPr>
        <w:t>.</w:t>
      </w:r>
    </w:p>
    <w:p w14:paraId="4025FF8D" w14:textId="77777777" w:rsidR="00697045" w:rsidRPr="004D7AFD" w:rsidRDefault="00000000">
      <w:pPr>
        <w:pStyle w:val="Bibliography"/>
        <w:rPr>
          <w:rFonts w:cs="Times New Roman"/>
        </w:rPr>
      </w:pPr>
      <w:bookmarkStart w:id="77" w:name="ref-Fleming_1978a"/>
      <w:bookmarkEnd w:id="76"/>
      <w:r w:rsidRPr="004D7AFD">
        <w:rPr>
          <w:rFonts w:cs="Times New Roman"/>
        </w:rPr>
        <w:lastRenderedPageBreak/>
        <w:t xml:space="preserve">Fleming, Thomas R. 1978. “Nonparametric Estimation for Nonhomogeneous Markov Processes in the Problem of Competing Risks.” Duration, mult-state, counting process. </w:t>
      </w:r>
      <w:r w:rsidRPr="004D7AFD">
        <w:rPr>
          <w:rFonts w:cs="Times New Roman"/>
          <w:i/>
          <w:iCs/>
        </w:rPr>
        <w:t>The Annals of Statistics</w:t>
      </w:r>
      <w:r w:rsidRPr="004D7AFD">
        <w:rPr>
          <w:rFonts w:cs="Times New Roman"/>
        </w:rPr>
        <w:t xml:space="preserve"> 6 (5): 1057–70. </w:t>
      </w:r>
      <w:hyperlink r:id="rId41">
        <w:r w:rsidRPr="004D7AFD">
          <w:rPr>
            <w:rStyle w:val="Hyperlink"/>
            <w:rFonts w:cs="Times New Roman"/>
          </w:rPr>
          <w:t>http://www.jstor.org/stable/2958608</w:t>
        </w:r>
      </w:hyperlink>
      <w:r w:rsidRPr="004D7AFD">
        <w:rPr>
          <w:rFonts w:cs="Times New Roman"/>
        </w:rPr>
        <w:t>.</w:t>
      </w:r>
    </w:p>
    <w:p w14:paraId="0CC99AEB" w14:textId="77777777" w:rsidR="00697045" w:rsidRPr="004D7AFD" w:rsidRDefault="00000000">
      <w:pPr>
        <w:pStyle w:val="Bibliography"/>
        <w:rPr>
          <w:rFonts w:cs="Times New Roman"/>
        </w:rPr>
      </w:pPr>
      <w:bookmarkStart w:id="78" w:name="ref-Fleming_Harrington_2005_Book"/>
      <w:bookmarkEnd w:id="77"/>
      <w:r w:rsidRPr="004D7AFD">
        <w:rPr>
          <w:rFonts w:cs="Times New Roman"/>
        </w:rPr>
        <w:t xml:space="preserve">Fleming, Thomas R., and David P. Harrington. 2005. </w:t>
      </w:r>
      <w:r w:rsidRPr="004D7AFD">
        <w:rPr>
          <w:rFonts w:cs="Times New Roman"/>
          <w:i/>
          <w:iCs/>
        </w:rPr>
        <w:t>Counting Processes and Survival Analysis</w:t>
      </w:r>
      <w:r w:rsidRPr="004D7AFD">
        <w:rPr>
          <w:rFonts w:cs="Times New Roman"/>
        </w:rPr>
        <w:t>. Survival Analysis, Stochastic Process. Wiley.</w:t>
      </w:r>
    </w:p>
    <w:p w14:paraId="2D48E2EB" w14:textId="77777777" w:rsidR="00697045" w:rsidRPr="004D7AFD" w:rsidRDefault="00000000">
      <w:pPr>
        <w:pStyle w:val="Bibliography"/>
        <w:rPr>
          <w:rFonts w:cs="Times New Roman"/>
        </w:rPr>
      </w:pPr>
      <w:bookmarkStart w:id="79" w:name="ref-Gluckman.etal_2008"/>
      <w:bookmarkEnd w:id="78"/>
      <w:r w:rsidRPr="004D7AFD">
        <w:rPr>
          <w:rFonts w:cs="Times New Roman"/>
        </w:rPr>
        <w:t xml:space="preserve">Gluckman, Peter D., Mark A. Hanson, Cyrus Cooper, and Kent L. Thornburg. 2008. “Effect of in Utero and Early-Life Conditions on Adult Health and Disease.” Early Childhood events, Health, Epigenetics. </w:t>
      </w:r>
      <w:r w:rsidRPr="004D7AFD">
        <w:rPr>
          <w:rFonts w:cs="Times New Roman"/>
          <w:i/>
          <w:iCs/>
        </w:rPr>
        <w:t>New England Journal of Medicine</w:t>
      </w:r>
      <w:r w:rsidRPr="004D7AFD">
        <w:rPr>
          <w:rFonts w:cs="Times New Roman"/>
        </w:rPr>
        <w:t xml:space="preserve"> 359 (1): 61–73. </w:t>
      </w:r>
      <w:hyperlink r:id="rId42">
        <w:r w:rsidRPr="004D7AFD">
          <w:rPr>
            <w:rStyle w:val="Hyperlink"/>
            <w:rFonts w:cs="Times New Roman"/>
          </w:rPr>
          <w:t>https://doi.org/10.1056/nejmra0708473</w:t>
        </w:r>
      </w:hyperlink>
      <w:r w:rsidRPr="004D7AFD">
        <w:rPr>
          <w:rFonts w:cs="Times New Roman"/>
        </w:rPr>
        <w:t>.</w:t>
      </w:r>
    </w:p>
    <w:p w14:paraId="60361807" w14:textId="77777777" w:rsidR="00697045" w:rsidRPr="004D7AFD" w:rsidRDefault="00000000">
      <w:pPr>
        <w:pStyle w:val="Bibliography"/>
        <w:rPr>
          <w:rFonts w:cs="Times New Roman"/>
        </w:rPr>
      </w:pPr>
      <w:bookmarkStart w:id="80" w:name="ref-Hahn_1985"/>
      <w:bookmarkEnd w:id="79"/>
      <w:r w:rsidRPr="004D7AFD">
        <w:rPr>
          <w:rFonts w:cs="Times New Roman"/>
        </w:rPr>
        <w:t xml:space="preserve">Hahn, Harlan. 1985. “Toward a Politics of Disability: Definitions, Disciplines, and Policies.” </w:t>
      </w:r>
      <w:r w:rsidRPr="004D7AFD">
        <w:rPr>
          <w:rFonts w:cs="Times New Roman"/>
          <w:i/>
          <w:iCs/>
        </w:rPr>
        <w:t>The Social Science Journal</w:t>
      </w:r>
      <w:r w:rsidRPr="004D7AFD">
        <w:rPr>
          <w:rFonts w:cs="Times New Roman"/>
        </w:rPr>
        <w:t xml:space="preserve">. </w:t>
      </w:r>
      <w:hyperlink r:id="rId43">
        <w:r w:rsidRPr="004D7AFD">
          <w:rPr>
            <w:rStyle w:val="Hyperlink"/>
            <w:rFonts w:cs="Times New Roman"/>
          </w:rPr>
          <w:t>https://www.independentliving.org/docs4/hahn2.html</w:t>
        </w:r>
      </w:hyperlink>
      <w:r w:rsidRPr="004D7AFD">
        <w:rPr>
          <w:rFonts w:cs="Times New Roman"/>
        </w:rPr>
        <w:t>.</w:t>
      </w:r>
    </w:p>
    <w:p w14:paraId="1644A966" w14:textId="77777777" w:rsidR="00697045" w:rsidRPr="004D7AFD" w:rsidRDefault="00000000">
      <w:pPr>
        <w:pStyle w:val="Bibliography"/>
        <w:rPr>
          <w:rFonts w:cs="Times New Roman"/>
        </w:rPr>
      </w:pPr>
      <w:bookmarkStart w:id="81" w:name="ref-Hannum.etal_2013"/>
      <w:bookmarkEnd w:id="80"/>
      <w:r w:rsidRPr="004D7AFD">
        <w:rPr>
          <w:rFonts w:cs="Times New Roman"/>
        </w:rPr>
        <w:t xml:space="preserve">Hannum, Gregory, Justin Guinney, Ling Zhao, Li Zhang, Guy Hughes, SriniVas Sadda, Brandy Klotzle, et al. 2013. “Genome-Wide Methylation Profiles Reveal Quantitative Views of Human Aging Rates.” Biological Age measure. </w:t>
      </w:r>
      <w:r w:rsidRPr="004D7AFD">
        <w:rPr>
          <w:rFonts w:cs="Times New Roman"/>
          <w:i/>
          <w:iCs/>
        </w:rPr>
        <w:t>Molecular Cell</w:t>
      </w:r>
      <w:r w:rsidRPr="004D7AFD">
        <w:rPr>
          <w:rFonts w:cs="Times New Roman"/>
        </w:rPr>
        <w:t xml:space="preserve"> 49 (2): 359–67. </w:t>
      </w:r>
      <w:hyperlink r:id="rId44">
        <w:r w:rsidRPr="004D7AFD">
          <w:rPr>
            <w:rStyle w:val="Hyperlink"/>
            <w:rFonts w:cs="Times New Roman"/>
          </w:rPr>
          <w:t>https://doi.org/10.1016/j.molcel.2012.10.016</w:t>
        </w:r>
      </w:hyperlink>
      <w:r w:rsidRPr="004D7AFD">
        <w:rPr>
          <w:rFonts w:cs="Times New Roman"/>
        </w:rPr>
        <w:t>.</w:t>
      </w:r>
    </w:p>
    <w:p w14:paraId="63237443" w14:textId="77777777" w:rsidR="00697045" w:rsidRPr="004D7AFD" w:rsidRDefault="00000000">
      <w:pPr>
        <w:pStyle w:val="Bibliography"/>
        <w:rPr>
          <w:rFonts w:cs="Times New Roman"/>
        </w:rPr>
      </w:pPr>
      <w:bookmarkStart w:id="82" w:name="ref-Hayflick_1965"/>
      <w:bookmarkEnd w:id="81"/>
      <w:r w:rsidRPr="004D7AFD">
        <w:rPr>
          <w:rFonts w:cs="Times New Roman"/>
        </w:rPr>
        <w:t xml:space="preserve">Hayflick, L. 1965. “The Limited in Vitro Lifetime of Human Diploid Cell Strains.” </w:t>
      </w:r>
      <w:r w:rsidRPr="004D7AFD">
        <w:rPr>
          <w:rFonts w:cs="Times New Roman"/>
          <w:i/>
          <w:iCs/>
        </w:rPr>
        <w:t>Experimental Cell Research</w:t>
      </w:r>
      <w:r w:rsidRPr="004D7AFD">
        <w:rPr>
          <w:rFonts w:cs="Times New Roman"/>
        </w:rPr>
        <w:t xml:space="preserve"> 37 (3): 614–36. </w:t>
      </w:r>
      <w:hyperlink r:id="rId45">
        <w:r w:rsidRPr="004D7AFD">
          <w:rPr>
            <w:rStyle w:val="Hyperlink"/>
            <w:rFonts w:cs="Times New Roman"/>
          </w:rPr>
          <w:t>https://doi.org/10.1016/0014-4827(65)90211-9</w:t>
        </w:r>
      </w:hyperlink>
      <w:r w:rsidRPr="004D7AFD">
        <w:rPr>
          <w:rFonts w:cs="Times New Roman"/>
        </w:rPr>
        <w:t>.</w:t>
      </w:r>
    </w:p>
    <w:p w14:paraId="62300FBF" w14:textId="77777777" w:rsidR="00697045" w:rsidRPr="004D7AFD" w:rsidRDefault="00000000">
      <w:pPr>
        <w:pStyle w:val="Bibliography"/>
        <w:rPr>
          <w:rFonts w:cs="Times New Roman"/>
        </w:rPr>
      </w:pPr>
      <w:bookmarkStart w:id="83" w:name="ref-Heckman_2008"/>
      <w:bookmarkEnd w:id="82"/>
      <w:r w:rsidRPr="004D7AFD">
        <w:rPr>
          <w:rFonts w:cs="Times New Roman"/>
        </w:rPr>
        <w:t xml:space="preserve">Heckman, James J. 2008. “Schools, Skills and Synapses.” </w:t>
      </w:r>
      <w:r w:rsidRPr="004D7AFD">
        <w:rPr>
          <w:rFonts w:cs="Times New Roman"/>
          <w:i/>
          <w:iCs/>
        </w:rPr>
        <w:t>Economic Inquiry</w:t>
      </w:r>
      <w:r w:rsidRPr="004D7AFD">
        <w:rPr>
          <w:rFonts w:cs="Times New Roman"/>
        </w:rPr>
        <w:t xml:space="preserve"> 46 (3): 289–324. </w:t>
      </w:r>
      <w:hyperlink r:id="rId46">
        <w:r w:rsidRPr="004D7AFD">
          <w:rPr>
            <w:rStyle w:val="Hyperlink"/>
            <w:rFonts w:cs="Times New Roman"/>
          </w:rPr>
          <w:t>https://doi.org/10.1111/j.1465-7295.2008.00163.x</w:t>
        </w:r>
      </w:hyperlink>
      <w:r w:rsidRPr="004D7AFD">
        <w:rPr>
          <w:rFonts w:cs="Times New Roman"/>
        </w:rPr>
        <w:t>.</w:t>
      </w:r>
    </w:p>
    <w:p w14:paraId="68D8F152" w14:textId="77777777" w:rsidR="00697045" w:rsidRPr="004D7AFD" w:rsidRDefault="00000000">
      <w:pPr>
        <w:pStyle w:val="Bibliography"/>
        <w:rPr>
          <w:rFonts w:cs="Times New Roman"/>
        </w:rPr>
      </w:pPr>
      <w:bookmarkStart w:id="84" w:name="ref-Heckman.Raut_2016"/>
      <w:bookmarkEnd w:id="83"/>
      <w:r w:rsidRPr="004D7AFD">
        <w:rPr>
          <w:rFonts w:cs="Times New Roman"/>
        </w:rPr>
        <w:t xml:space="preserve">Heckman, James J., and Lakshmi K. Raut. 2016. “Intergenerational Long-Term Effects of Preschool-Structural Estimates from a Discrete Dynamic Programming Model.” Published: Preschool. </w:t>
      </w:r>
      <w:r w:rsidRPr="004D7AFD">
        <w:rPr>
          <w:rFonts w:cs="Times New Roman"/>
          <w:i/>
          <w:iCs/>
        </w:rPr>
        <w:t>Journal of Econometrics</w:t>
      </w:r>
      <w:r w:rsidRPr="004D7AFD">
        <w:rPr>
          <w:rFonts w:cs="Times New Roman"/>
        </w:rPr>
        <w:t xml:space="preserve"> 191 (1): 164–75. </w:t>
      </w:r>
      <w:hyperlink r:id="rId47">
        <w:r w:rsidRPr="004D7AFD">
          <w:rPr>
            <w:rStyle w:val="Hyperlink"/>
            <w:rFonts w:cs="Times New Roman"/>
          </w:rPr>
          <w:t>https://doi.org/10.1016/j.jeconom.2015.10.001</w:t>
        </w:r>
      </w:hyperlink>
      <w:r w:rsidRPr="004D7AFD">
        <w:rPr>
          <w:rFonts w:cs="Times New Roman"/>
        </w:rPr>
        <w:t>.</w:t>
      </w:r>
    </w:p>
    <w:p w14:paraId="65AEB5F2" w14:textId="77777777" w:rsidR="00697045" w:rsidRPr="004D7AFD" w:rsidRDefault="00000000">
      <w:pPr>
        <w:pStyle w:val="Bibliography"/>
        <w:rPr>
          <w:rFonts w:cs="Times New Roman"/>
        </w:rPr>
      </w:pPr>
      <w:bookmarkStart w:id="85" w:name="ref-Heckman.Singer_1983"/>
      <w:bookmarkEnd w:id="84"/>
      <w:r w:rsidRPr="004D7AFD">
        <w:rPr>
          <w:rFonts w:cs="Times New Roman"/>
        </w:rPr>
        <w:t xml:space="preserve">Heckman, James J., and Burton Singer. 1983. “The Identification Problem in Econometric Models for Duration Data.” In </w:t>
      </w:r>
      <w:r w:rsidRPr="004D7AFD">
        <w:rPr>
          <w:rFonts w:cs="Times New Roman"/>
          <w:i/>
          <w:iCs/>
        </w:rPr>
        <w:t>Advances in Econometrics</w:t>
      </w:r>
      <w:r w:rsidRPr="004D7AFD">
        <w:rPr>
          <w:rFonts w:cs="Times New Roman"/>
        </w:rPr>
        <w:t xml:space="preserve">, 39–78. Cambridge University Press. </w:t>
      </w:r>
      <w:hyperlink r:id="rId48">
        <w:r w:rsidRPr="004D7AFD">
          <w:rPr>
            <w:rStyle w:val="Hyperlink"/>
            <w:rFonts w:cs="Times New Roman"/>
          </w:rPr>
          <w:t>https://doi.org/10.1017/cbo9781139052160.002</w:t>
        </w:r>
      </w:hyperlink>
      <w:r w:rsidRPr="004D7AFD">
        <w:rPr>
          <w:rFonts w:cs="Times New Roman"/>
        </w:rPr>
        <w:t>.</w:t>
      </w:r>
    </w:p>
    <w:p w14:paraId="7A86F8FA" w14:textId="77777777" w:rsidR="00697045" w:rsidRPr="004D7AFD" w:rsidRDefault="00000000">
      <w:pPr>
        <w:pStyle w:val="Bibliography"/>
        <w:rPr>
          <w:rFonts w:cs="Times New Roman"/>
        </w:rPr>
      </w:pPr>
      <w:bookmarkStart w:id="86" w:name="ref-Heckman.Singer_1984"/>
      <w:bookmarkEnd w:id="85"/>
      <w:r w:rsidRPr="004D7AFD">
        <w:rPr>
          <w:rFonts w:cs="Times New Roman"/>
        </w:rPr>
        <w:t xml:space="preserve">———. 1984a. “A Method for Minimizing the Impact of Distributional Assumptions in Econometric Models for Duration Data.” </w:t>
      </w:r>
      <w:r w:rsidRPr="004D7AFD">
        <w:rPr>
          <w:rFonts w:cs="Times New Roman"/>
          <w:i/>
          <w:iCs/>
        </w:rPr>
        <w:t>Econometrica</w:t>
      </w:r>
      <w:r w:rsidRPr="004D7AFD">
        <w:rPr>
          <w:rFonts w:cs="Times New Roman"/>
        </w:rPr>
        <w:t xml:space="preserve"> 52 (2): 271–320. </w:t>
      </w:r>
      <w:hyperlink r:id="rId49">
        <w:r w:rsidRPr="004D7AFD">
          <w:rPr>
            <w:rStyle w:val="Hyperlink"/>
            <w:rFonts w:cs="Times New Roman"/>
          </w:rPr>
          <w:t>https://doi.org/10.2307/1911491</w:t>
        </w:r>
      </w:hyperlink>
      <w:r w:rsidRPr="004D7AFD">
        <w:rPr>
          <w:rFonts w:cs="Times New Roman"/>
        </w:rPr>
        <w:t>.</w:t>
      </w:r>
    </w:p>
    <w:p w14:paraId="270A7686" w14:textId="77777777" w:rsidR="00697045" w:rsidRPr="004D7AFD" w:rsidRDefault="00000000">
      <w:pPr>
        <w:pStyle w:val="Bibliography"/>
        <w:rPr>
          <w:rFonts w:cs="Times New Roman"/>
        </w:rPr>
      </w:pPr>
      <w:bookmarkStart w:id="87" w:name="ref-Heckman.Singer_1984a"/>
      <w:bookmarkEnd w:id="86"/>
      <w:r w:rsidRPr="004D7AFD">
        <w:rPr>
          <w:rFonts w:cs="Times New Roman"/>
        </w:rPr>
        <w:t xml:space="preserve">———. 1984b. “The Identifiability of the Proportional Hazard Model.” </w:t>
      </w:r>
      <w:r w:rsidRPr="004D7AFD">
        <w:rPr>
          <w:rFonts w:cs="Times New Roman"/>
          <w:i/>
          <w:iCs/>
        </w:rPr>
        <w:t>The Review of Economic Studies</w:t>
      </w:r>
      <w:r w:rsidRPr="004D7AFD">
        <w:rPr>
          <w:rFonts w:cs="Times New Roman"/>
        </w:rPr>
        <w:t xml:space="preserve"> 51 (2): 231–41. </w:t>
      </w:r>
      <w:hyperlink r:id="rId50">
        <w:r w:rsidRPr="004D7AFD">
          <w:rPr>
            <w:rStyle w:val="Hyperlink"/>
            <w:rFonts w:cs="Times New Roman"/>
          </w:rPr>
          <w:t>https://doi.org/10.2307/2297689.</w:t>
        </w:r>
      </w:hyperlink>
    </w:p>
    <w:p w14:paraId="5771B524" w14:textId="77777777" w:rsidR="00697045" w:rsidRPr="004D7AFD" w:rsidRDefault="00000000">
      <w:pPr>
        <w:pStyle w:val="Bibliography"/>
        <w:rPr>
          <w:rFonts w:cs="Times New Roman"/>
        </w:rPr>
      </w:pPr>
      <w:bookmarkStart w:id="88" w:name="ref-Horvath_2013"/>
      <w:bookmarkEnd w:id="87"/>
      <w:r w:rsidRPr="004D7AFD">
        <w:rPr>
          <w:rFonts w:cs="Times New Roman"/>
        </w:rPr>
        <w:t xml:space="preserve">Horvath, Steve. 2013. “DNA Methylation Age of Human Tissues and Cell Types.” Biological Age measure. </w:t>
      </w:r>
      <w:r w:rsidRPr="004D7AFD">
        <w:rPr>
          <w:rFonts w:cs="Times New Roman"/>
          <w:i/>
          <w:iCs/>
        </w:rPr>
        <w:t>Genome Biology</w:t>
      </w:r>
      <w:r w:rsidRPr="004D7AFD">
        <w:rPr>
          <w:rFonts w:cs="Times New Roman"/>
        </w:rPr>
        <w:t xml:space="preserve"> 14 (10): 3156. </w:t>
      </w:r>
      <w:hyperlink r:id="rId51">
        <w:r w:rsidRPr="004D7AFD">
          <w:rPr>
            <w:rStyle w:val="Hyperlink"/>
            <w:rFonts w:cs="Times New Roman"/>
          </w:rPr>
          <w:t>https://doi.org/10.1186/gb-2013-14-10-r115</w:t>
        </w:r>
      </w:hyperlink>
      <w:r w:rsidRPr="004D7AFD">
        <w:rPr>
          <w:rFonts w:cs="Times New Roman"/>
        </w:rPr>
        <w:t>.</w:t>
      </w:r>
    </w:p>
    <w:p w14:paraId="403F0457" w14:textId="77777777" w:rsidR="00697045" w:rsidRPr="004D7AFD" w:rsidRDefault="00000000">
      <w:pPr>
        <w:pStyle w:val="Bibliography"/>
        <w:rPr>
          <w:rFonts w:cs="Times New Roman"/>
        </w:rPr>
      </w:pPr>
      <w:bookmarkStart w:id="89" w:name="ref-InstituteMedicine_2007_Book"/>
      <w:bookmarkEnd w:id="88"/>
      <w:r w:rsidRPr="004D7AFD">
        <w:rPr>
          <w:rFonts w:cs="Times New Roman"/>
        </w:rPr>
        <w:lastRenderedPageBreak/>
        <w:t xml:space="preserve">Institute of Medicine. 2007. </w:t>
      </w:r>
      <w:r w:rsidRPr="004D7AFD">
        <w:rPr>
          <w:rFonts w:cs="Times New Roman"/>
          <w:i/>
          <w:iCs/>
        </w:rPr>
        <w:t>Improving the Social Security Disability Decision Process</w:t>
      </w:r>
      <w:r w:rsidRPr="004D7AFD">
        <w:rPr>
          <w:rFonts w:cs="Times New Roman"/>
        </w:rPr>
        <w:t xml:space="preserve">. Edited by John D. Stobo, Michael McGeary, and David K. Barnes. Washington, DC: The National Academies Press. </w:t>
      </w:r>
      <w:hyperlink r:id="rId52">
        <w:r w:rsidRPr="004D7AFD">
          <w:rPr>
            <w:rStyle w:val="Hyperlink"/>
            <w:rFonts w:cs="Times New Roman"/>
          </w:rPr>
          <w:t>https://doi.org/10.17226/11859</w:t>
        </w:r>
      </w:hyperlink>
      <w:r w:rsidRPr="004D7AFD">
        <w:rPr>
          <w:rFonts w:cs="Times New Roman"/>
        </w:rPr>
        <w:t>.</w:t>
      </w:r>
    </w:p>
    <w:p w14:paraId="4C96446A" w14:textId="77777777" w:rsidR="00697045" w:rsidRPr="004D7AFD" w:rsidRDefault="00000000">
      <w:pPr>
        <w:pStyle w:val="Bibliography"/>
        <w:rPr>
          <w:rFonts w:cs="Times New Roman"/>
        </w:rPr>
      </w:pPr>
      <w:bookmarkStart w:id="90" w:name="ref-Juster.Suzman_1995"/>
      <w:bookmarkEnd w:id="89"/>
      <w:r w:rsidRPr="004D7AFD">
        <w:rPr>
          <w:rFonts w:cs="Times New Roman"/>
        </w:rPr>
        <w:t xml:space="preserve">Juster, F. Thomas, and Richard Suzman. 1995. “An Overview of the Health and Retirement Study.” HRS, overview. </w:t>
      </w:r>
      <w:r w:rsidRPr="004D7AFD">
        <w:rPr>
          <w:rFonts w:cs="Times New Roman"/>
          <w:i/>
          <w:iCs/>
        </w:rPr>
        <w:t>The Journal of Human Resources</w:t>
      </w:r>
      <w:r w:rsidRPr="004D7AFD">
        <w:rPr>
          <w:rFonts w:cs="Times New Roman"/>
        </w:rPr>
        <w:t xml:space="preserve"> 30: S7. </w:t>
      </w:r>
      <w:hyperlink r:id="rId53">
        <w:r w:rsidRPr="004D7AFD">
          <w:rPr>
            <w:rStyle w:val="Hyperlink"/>
            <w:rFonts w:cs="Times New Roman"/>
          </w:rPr>
          <w:t>https://doi.org/10.2307/146277</w:t>
        </w:r>
      </w:hyperlink>
      <w:r w:rsidRPr="004D7AFD">
        <w:rPr>
          <w:rFonts w:cs="Times New Roman"/>
        </w:rPr>
        <w:t>.</w:t>
      </w:r>
    </w:p>
    <w:p w14:paraId="3BCB62EF" w14:textId="77777777" w:rsidR="00697045" w:rsidRPr="004D7AFD" w:rsidRDefault="00000000">
      <w:pPr>
        <w:pStyle w:val="Bibliography"/>
        <w:rPr>
          <w:rFonts w:cs="Times New Roman"/>
        </w:rPr>
      </w:pPr>
      <w:bookmarkStart w:id="91" w:name="ref-Kanherkar.etal_2014"/>
      <w:bookmarkEnd w:id="90"/>
      <w:r w:rsidRPr="004D7AFD">
        <w:rPr>
          <w:rFonts w:cs="Times New Roman"/>
        </w:rPr>
        <w:t xml:space="preserve">Kanherkar, Riya R., Naina Bhatia-Dey, and Antonei B. Csoka. 2014. “Epigenetics Across the Human Lifespan.” </w:t>
      </w:r>
      <w:r w:rsidRPr="004D7AFD">
        <w:rPr>
          <w:rFonts w:cs="Times New Roman"/>
          <w:i/>
          <w:iCs/>
        </w:rPr>
        <w:t>Frontiers in Cell and Developmental Biology</w:t>
      </w:r>
      <w:r w:rsidRPr="004D7AFD">
        <w:rPr>
          <w:rFonts w:cs="Times New Roman"/>
        </w:rPr>
        <w:t xml:space="preserve"> 2 (3): 124–28. </w:t>
      </w:r>
      <w:hyperlink r:id="rId54">
        <w:r w:rsidRPr="004D7AFD">
          <w:rPr>
            <w:rStyle w:val="Hyperlink"/>
            <w:rFonts w:cs="Times New Roman"/>
          </w:rPr>
          <w:t>https://doi.org/10.3389/fcell.2014.00049</w:t>
        </w:r>
      </w:hyperlink>
      <w:r w:rsidRPr="004D7AFD">
        <w:rPr>
          <w:rFonts w:cs="Times New Roman"/>
        </w:rPr>
        <w:t>.</w:t>
      </w:r>
    </w:p>
    <w:p w14:paraId="049F4F28" w14:textId="77777777" w:rsidR="00697045" w:rsidRPr="004D7AFD" w:rsidRDefault="00000000">
      <w:pPr>
        <w:pStyle w:val="Bibliography"/>
        <w:rPr>
          <w:rFonts w:cs="Times New Roman"/>
        </w:rPr>
      </w:pPr>
      <w:bookmarkStart w:id="92" w:name="ref-Karakus.Patton_2011"/>
      <w:bookmarkEnd w:id="91"/>
      <w:r w:rsidRPr="004D7AFD">
        <w:rPr>
          <w:rFonts w:cs="Times New Roman"/>
        </w:rPr>
        <w:t xml:space="preserve">Karakus, Mustafa C., and Lisa C. Patton. 2011. “Depression and the Onset of Chronic Illness in Older Adults: A 12-Year Prospective Study.” </w:t>
      </w:r>
      <w:r w:rsidRPr="004D7AFD">
        <w:rPr>
          <w:rFonts w:cs="Times New Roman"/>
          <w:i/>
          <w:iCs/>
        </w:rPr>
        <w:t>The Journal of Behavioral Health Services &amp; Research</w:t>
      </w:r>
      <w:r w:rsidRPr="004D7AFD">
        <w:rPr>
          <w:rFonts w:cs="Times New Roman"/>
        </w:rPr>
        <w:t xml:space="preserve"> 38 (3): 373–82. </w:t>
      </w:r>
      <w:hyperlink r:id="rId55">
        <w:r w:rsidRPr="004D7AFD">
          <w:rPr>
            <w:rStyle w:val="Hyperlink"/>
            <w:rFonts w:cs="Times New Roman"/>
          </w:rPr>
          <w:t>https://doi.org/10.1007/s11414-011-9234-2</w:t>
        </w:r>
      </w:hyperlink>
      <w:r w:rsidRPr="004D7AFD">
        <w:rPr>
          <w:rFonts w:cs="Times New Roman"/>
        </w:rPr>
        <w:t>.</w:t>
      </w:r>
    </w:p>
    <w:p w14:paraId="6EAC6D52" w14:textId="77777777" w:rsidR="00697045" w:rsidRPr="004D7AFD" w:rsidRDefault="00000000">
      <w:pPr>
        <w:pStyle w:val="Bibliography"/>
        <w:rPr>
          <w:rFonts w:cs="Times New Roman"/>
        </w:rPr>
      </w:pPr>
      <w:bookmarkStart w:id="93" w:name="ref-Khoury.etal_2009"/>
      <w:bookmarkEnd w:id="92"/>
      <w:r w:rsidRPr="004D7AFD">
        <w:rPr>
          <w:rFonts w:cs="Times New Roman"/>
        </w:rPr>
        <w:t xml:space="preserve">Khoury, Muin J., Lars Bertram, Paolo Boffetta, Adam S. Butterworth, Stephen J. Chanock, Siobhan M. Dolan, Isabel Fortier, et al. 2009. “Genome-Wide Association Studies, Field Synopses, and the Development of the Knowledge Base on Genetic Variation and Human Diseases.” </w:t>
      </w:r>
      <w:r w:rsidRPr="004D7AFD">
        <w:rPr>
          <w:rFonts w:cs="Times New Roman"/>
          <w:i/>
          <w:iCs/>
        </w:rPr>
        <w:t>American Journal of Epidemiology</w:t>
      </w:r>
      <w:r w:rsidRPr="004D7AFD">
        <w:rPr>
          <w:rFonts w:cs="Times New Roman"/>
        </w:rPr>
        <w:t xml:space="preserve"> 170 (3): 269–79. </w:t>
      </w:r>
      <w:hyperlink r:id="rId56">
        <w:r w:rsidRPr="004D7AFD">
          <w:rPr>
            <w:rStyle w:val="Hyperlink"/>
            <w:rFonts w:cs="Times New Roman"/>
          </w:rPr>
          <w:t>https://doi.org/10.1093/aje/kwp119</w:t>
        </w:r>
      </w:hyperlink>
      <w:r w:rsidRPr="004D7AFD">
        <w:rPr>
          <w:rFonts w:cs="Times New Roman"/>
        </w:rPr>
        <w:t>.</w:t>
      </w:r>
    </w:p>
    <w:p w14:paraId="67EAE10B" w14:textId="77777777" w:rsidR="00697045" w:rsidRPr="004D7AFD" w:rsidRDefault="00000000">
      <w:pPr>
        <w:pStyle w:val="Bibliography"/>
        <w:rPr>
          <w:rFonts w:cs="Times New Roman"/>
        </w:rPr>
      </w:pPr>
      <w:bookmarkStart w:id="94" w:name="ref-Luo.Waite_2005"/>
      <w:bookmarkEnd w:id="93"/>
      <w:r w:rsidRPr="004D7AFD">
        <w:rPr>
          <w:rFonts w:cs="Times New Roman"/>
        </w:rPr>
        <w:t xml:space="preserve">Luo, Ye, and Linda J. Waite. 2005. “The Impact of Childhood and Adult SES on Physical, Mental, and Cognitive Well-Being in Later Life.” </w:t>
      </w:r>
      <w:r w:rsidRPr="004D7AFD">
        <w:rPr>
          <w:rFonts w:cs="Times New Roman"/>
          <w:i/>
          <w:iCs/>
        </w:rPr>
        <w:t>The Journals of Gerontology: Series B</w:t>
      </w:r>
      <w:r w:rsidRPr="004D7AFD">
        <w:rPr>
          <w:rFonts w:cs="Times New Roman"/>
        </w:rPr>
        <w:t xml:space="preserve"> 60 (2): S93–101. </w:t>
      </w:r>
      <w:hyperlink r:id="rId57">
        <w:r w:rsidRPr="004D7AFD">
          <w:rPr>
            <w:rStyle w:val="Hyperlink"/>
            <w:rFonts w:cs="Times New Roman"/>
          </w:rPr>
          <w:t>https://doi.org/10.1093/geronb/60.2.s93</w:t>
        </w:r>
      </w:hyperlink>
      <w:r w:rsidRPr="004D7AFD">
        <w:rPr>
          <w:rFonts w:cs="Times New Roman"/>
        </w:rPr>
        <w:t>.</w:t>
      </w:r>
    </w:p>
    <w:p w14:paraId="38C83F62" w14:textId="77777777" w:rsidR="00697045" w:rsidRPr="004D7AFD" w:rsidRDefault="00000000">
      <w:pPr>
        <w:pStyle w:val="Bibliography"/>
        <w:rPr>
          <w:rFonts w:cs="Times New Roman"/>
        </w:rPr>
      </w:pPr>
      <w:bookmarkStart w:id="95" w:name="ref-Marks_1997"/>
      <w:bookmarkEnd w:id="94"/>
      <w:r w:rsidRPr="004D7AFD">
        <w:rPr>
          <w:rFonts w:cs="Times New Roman"/>
        </w:rPr>
        <w:t xml:space="preserve">Marks, Deborah. 1997. “Models of Disability.” </w:t>
      </w:r>
      <w:r w:rsidRPr="004D7AFD">
        <w:rPr>
          <w:rFonts w:cs="Times New Roman"/>
          <w:i/>
          <w:iCs/>
        </w:rPr>
        <w:t>Disability and Rehabilitation</w:t>
      </w:r>
      <w:r w:rsidRPr="004D7AFD">
        <w:rPr>
          <w:rFonts w:cs="Times New Roman"/>
        </w:rPr>
        <w:t xml:space="preserve"> 19 (3): 85–91. </w:t>
      </w:r>
      <w:hyperlink r:id="rId58">
        <w:r w:rsidRPr="004D7AFD">
          <w:rPr>
            <w:rStyle w:val="Hyperlink"/>
            <w:rFonts w:cs="Times New Roman"/>
          </w:rPr>
          <w:t>https://doi.org/10.3109/09638289709166831</w:t>
        </w:r>
      </w:hyperlink>
      <w:r w:rsidRPr="004D7AFD">
        <w:rPr>
          <w:rFonts w:cs="Times New Roman"/>
        </w:rPr>
        <w:t>.</w:t>
      </w:r>
    </w:p>
    <w:p w14:paraId="75346B04" w14:textId="77777777" w:rsidR="00697045" w:rsidRPr="004D7AFD" w:rsidRDefault="00000000">
      <w:pPr>
        <w:pStyle w:val="Bibliography"/>
        <w:rPr>
          <w:rFonts w:cs="Times New Roman"/>
        </w:rPr>
      </w:pPr>
      <w:bookmarkStart w:id="96" w:name="ref-Mozaffari_2016"/>
      <w:bookmarkEnd w:id="95"/>
      <w:r w:rsidRPr="004D7AFD">
        <w:rPr>
          <w:rFonts w:cs="Times New Roman"/>
        </w:rPr>
        <w:t xml:space="preserve">Mozaffarian, Dariush. 2016. “Dietary and Policy Priorities for Cardiovascular Disease, Diabetes, and Obesity.” </w:t>
      </w:r>
      <w:r w:rsidRPr="004D7AFD">
        <w:rPr>
          <w:rFonts w:cs="Times New Roman"/>
          <w:i/>
          <w:iCs/>
        </w:rPr>
        <w:t>Circulation</w:t>
      </w:r>
      <w:r w:rsidRPr="004D7AFD">
        <w:rPr>
          <w:rFonts w:cs="Times New Roman"/>
        </w:rPr>
        <w:t xml:space="preserve"> 133 (2): 187–225. </w:t>
      </w:r>
      <w:hyperlink r:id="rId59">
        <w:r w:rsidRPr="004D7AFD">
          <w:rPr>
            <w:rStyle w:val="Hyperlink"/>
            <w:rFonts w:cs="Times New Roman"/>
          </w:rPr>
          <w:t>https://doi.org/10.1161/circulationaha.115.018585</w:t>
        </w:r>
      </w:hyperlink>
      <w:r w:rsidRPr="004D7AFD">
        <w:rPr>
          <w:rFonts w:cs="Times New Roman"/>
        </w:rPr>
        <w:t>.</w:t>
      </w:r>
    </w:p>
    <w:p w14:paraId="76FA5F2D" w14:textId="77777777" w:rsidR="00697045" w:rsidRPr="004D7AFD" w:rsidRDefault="00000000">
      <w:pPr>
        <w:pStyle w:val="Bibliography"/>
        <w:rPr>
          <w:rFonts w:cs="Times New Roman"/>
        </w:rPr>
      </w:pPr>
      <w:bookmarkStart w:id="97" w:name="ref-Nagi_1965"/>
      <w:bookmarkEnd w:id="96"/>
      <w:r w:rsidRPr="004D7AFD">
        <w:rPr>
          <w:rFonts w:cs="Times New Roman"/>
        </w:rPr>
        <w:t xml:space="preserve">Nagi, Saad Z. 1965. “Some Conceptual Issues in Disability and Rehabilitation.” In </w:t>
      </w:r>
      <w:r w:rsidRPr="004D7AFD">
        <w:rPr>
          <w:rFonts w:cs="Times New Roman"/>
          <w:i/>
          <w:iCs/>
        </w:rPr>
        <w:t>Sociology and Rehabilitation</w:t>
      </w:r>
      <w:r w:rsidRPr="004D7AFD">
        <w:rPr>
          <w:rFonts w:cs="Times New Roman"/>
        </w:rPr>
        <w:t xml:space="preserve">, edited by M B Sussman. 100-113: American Sociological Association. </w:t>
      </w:r>
      <w:hyperlink r:id="rId60">
        <w:r w:rsidRPr="004D7AFD">
          <w:rPr>
            <w:rStyle w:val="Hyperlink"/>
            <w:rFonts w:cs="Times New Roman"/>
          </w:rPr>
          <w:t>https://ci.nii.ac.jp/naid/10015569425/en/</w:t>
        </w:r>
      </w:hyperlink>
      <w:r w:rsidRPr="004D7AFD">
        <w:rPr>
          <w:rFonts w:cs="Times New Roman"/>
        </w:rPr>
        <w:t>.</w:t>
      </w:r>
    </w:p>
    <w:p w14:paraId="7E2242BF" w14:textId="77777777" w:rsidR="00697045" w:rsidRPr="004D7AFD" w:rsidRDefault="00000000">
      <w:pPr>
        <w:pStyle w:val="Bibliography"/>
        <w:rPr>
          <w:rFonts w:cs="Times New Roman"/>
        </w:rPr>
      </w:pPr>
      <w:bookmarkStart w:id="98" w:name="ref-Nagi_1976"/>
      <w:bookmarkEnd w:id="97"/>
      <w:r w:rsidRPr="004D7AFD">
        <w:rPr>
          <w:rFonts w:cs="Times New Roman"/>
        </w:rPr>
        <w:t xml:space="preserve">———. 1976. “An Epidemiology of Disability Among Adults in the United States.” </w:t>
      </w:r>
      <w:r w:rsidRPr="004D7AFD">
        <w:rPr>
          <w:rFonts w:cs="Times New Roman"/>
          <w:i/>
          <w:iCs/>
        </w:rPr>
        <w:t>The Milbank Memorial Fund Quarterly. Health and Society</w:t>
      </w:r>
      <w:r w:rsidRPr="004D7AFD">
        <w:rPr>
          <w:rFonts w:cs="Times New Roman"/>
        </w:rPr>
        <w:t xml:space="preserve"> 54 (4): 439. </w:t>
      </w:r>
      <w:hyperlink r:id="rId61">
        <w:r w:rsidRPr="004D7AFD">
          <w:rPr>
            <w:rStyle w:val="Hyperlink"/>
            <w:rFonts w:cs="Times New Roman"/>
          </w:rPr>
          <w:t>https://doi.org/10.2307/3349677</w:t>
        </w:r>
      </w:hyperlink>
      <w:r w:rsidRPr="004D7AFD">
        <w:rPr>
          <w:rFonts w:cs="Times New Roman"/>
        </w:rPr>
        <w:t>.</w:t>
      </w:r>
    </w:p>
    <w:p w14:paraId="03678DE7" w14:textId="77777777" w:rsidR="00697045" w:rsidRPr="004D7AFD" w:rsidRDefault="00000000">
      <w:pPr>
        <w:pStyle w:val="Bibliography"/>
        <w:rPr>
          <w:rFonts w:cs="Times New Roman"/>
        </w:rPr>
      </w:pPr>
      <w:bookmarkStart w:id="99" w:name="ref-Nagi_1991"/>
      <w:bookmarkEnd w:id="98"/>
      <w:r w:rsidRPr="004D7AFD">
        <w:rPr>
          <w:rFonts w:cs="Times New Roman"/>
        </w:rPr>
        <w:t xml:space="preserve">———. 1991. “Disability in America: Toward a National Agenda for Prevention.” In, edited by Andrew M. Pope and Alvin R. Tarlov, 309–27. Washington, DC: National Academies Press. </w:t>
      </w:r>
      <w:hyperlink r:id="rId62">
        <w:r w:rsidRPr="004D7AFD">
          <w:rPr>
            <w:rStyle w:val="Hyperlink"/>
            <w:rFonts w:cs="Times New Roman"/>
          </w:rPr>
          <w:t>https://doi.org/10.17226/1579</w:t>
        </w:r>
      </w:hyperlink>
      <w:r w:rsidRPr="004D7AFD">
        <w:rPr>
          <w:rFonts w:cs="Times New Roman"/>
        </w:rPr>
        <w:t>.</w:t>
      </w:r>
    </w:p>
    <w:p w14:paraId="36BB9BC7" w14:textId="77777777" w:rsidR="00697045" w:rsidRPr="004D7AFD" w:rsidRDefault="00000000">
      <w:pPr>
        <w:pStyle w:val="Bibliography"/>
        <w:rPr>
          <w:rFonts w:cs="Times New Roman"/>
        </w:rPr>
      </w:pPr>
      <w:bookmarkStart w:id="100" w:name="ref-Pope.Tarlov_1991_Book"/>
      <w:bookmarkEnd w:id="99"/>
      <w:r w:rsidRPr="004D7AFD">
        <w:rPr>
          <w:rFonts w:cs="Times New Roman"/>
        </w:rPr>
        <w:t xml:space="preserve">Pope, Andrew M., and Alvin R. Tarlov. 1991. </w:t>
      </w:r>
      <w:r w:rsidRPr="004D7AFD">
        <w:rPr>
          <w:rFonts w:cs="Times New Roman"/>
          <w:i/>
          <w:iCs/>
        </w:rPr>
        <w:t>Disability in America: Toward a National Agenda for Prevention</w:t>
      </w:r>
      <w:r w:rsidRPr="004D7AFD">
        <w:rPr>
          <w:rFonts w:cs="Times New Roman"/>
        </w:rPr>
        <w:t xml:space="preserve">. Edited by Andrew M. Pope and Alvin R. Tarlov. National Academies Press. </w:t>
      </w:r>
      <w:hyperlink r:id="rId63">
        <w:r w:rsidRPr="004D7AFD">
          <w:rPr>
            <w:rStyle w:val="Hyperlink"/>
            <w:rFonts w:cs="Times New Roman"/>
          </w:rPr>
          <w:t>https://doi.org/10.17226/1579</w:t>
        </w:r>
      </w:hyperlink>
      <w:r w:rsidRPr="004D7AFD">
        <w:rPr>
          <w:rFonts w:cs="Times New Roman"/>
        </w:rPr>
        <w:t>.</w:t>
      </w:r>
    </w:p>
    <w:p w14:paraId="5653F85C" w14:textId="77777777" w:rsidR="00697045" w:rsidRPr="004D7AFD" w:rsidRDefault="00000000">
      <w:pPr>
        <w:pStyle w:val="Bibliography"/>
        <w:rPr>
          <w:rFonts w:cs="Times New Roman"/>
        </w:rPr>
      </w:pPr>
      <w:bookmarkStart w:id="101" w:name="ref-Raut_2017b"/>
      <w:bookmarkEnd w:id="100"/>
      <w:r w:rsidRPr="004D7AFD">
        <w:rPr>
          <w:rFonts w:cs="Times New Roman"/>
        </w:rPr>
        <w:lastRenderedPageBreak/>
        <w:t xml:space="preserve">Raut, Lakshmi K. 2017. “Exits from Disability: Estimates from a Competing Risk Model.” Published. </w:t>
      </w:r>
      <w:r w:rsidRPr="004D7AFD">
        <w:rPr>
          <w:rFonts w:cs="Times New Roman"/>
          <w:i/>
          <w:iCs/>
        </w:rPr>
        <w:t>Social Security Bulletin</w:t>
      </w:r>
      <w:r w:rsidRPr="004D7AFD">
        <w:rPr>
          <w:rFonts w:cs="Times New Roman"/>
        </w:rPr>
        <w:t xml:space="preserve"> 77 (3): 15–38. https://doi.org/</w:t>
      </w:r>
      <w:hyperlink r:id="rId64">
        <w:r w:rsidRPr="004D7AFD">
          <w:rPr>
            <w:rStyle w:val="Hyperlink"/>
            <w:rFonts w:cs="Times New Roman"/>
          </w:rPr>
          <w:t>https://www.ssa.gov/policy/docs/ssb/v77n3/v77n3p15.html</w:t>
        </w:r>
      </w:hyperlink>
      <w:r w:rsidRPr="004D7AFD">
        <w:rPr>
          <w:rFonts w:cs="Times New Roman"/>
        </w:rPr>
        <w:t>.</w:t>
      </w:r>
    </w:p>
    <w:p w14:paraId="6E6BBDCE" w14:textId="77777777" w:rsidR="00697045" w:rsidRPr="004D7AFD" w:rsidRDefault="00000000">
      <w:pPr>
        <w:pStyle w:val="Bibliography"/>
        <w:rPr>
          <w:rFonts w:cs="Times New Roman"/>
        </w:rPr>
      </w:pPr>
      <w:bookmarkStart w:id="102" w:name="ref-Raut_2018"/>
      <w:bookmarkEnd w:id="101"/>
      <w:r w:rsidRPr="004D7AFD">
        <w:rPr>
          <w:rFonts w:cs="Times New Roman"/>
        </w:rPr>
        <w:t xml:space="preserve">———. 2018. “Long-Term Effects of Preschool on School Performance, Earnings and Social Mobility.” </w:t>
      </w:r>
      <w:r w:rsidRPr="004D7AFD">
        <w:rPr>
          <w:rFonts w:cs="Times New Roman"/>
          <w:i/>
          <w:iCs/>
        </w:rPr>
        <w:t>Studies in Microeconomics</w:t>
      </w:r>
      <w:r w:rsidRPr="004D7AFD">
        <w:rPr>
          <w:rFonts w:cs="Times New Roman"/>
        </w:rPr>
        <w:t xml:space="preserve"> 6 (1-2): 24–49. </w:t>
      </w:r>
      <w:hyperlink r:id="rId65">
        <w:r w:rsidRPr="004D7AFD">
          <w:rPr>
            <w:rStyle w:val="Hyperlink"/>
            <w:rFonts w:cs="Times New Roman"/>
          </w:rPr>
          <w:t>https://doi.org/10.1177/2321022218802023</w:t>
        </w:r>
      </w:hyperlink>
      <w:r w:rsidRPr="004D7AFD">
        <w:rPr>
          <w:rFonts w:cs="Times New Roman"/>
        </w:rPr>
        <w:t>.</w:t>
      </w:r>
    </w:p>
    <w:p w14:paraId="365D869E" w14:textId="77777777" w:rsidR="00697045" w:rsidRPr="004D7AFD" w:rsidRDefault="00000000">
      <w:pPr>
        <w:pStyle w:val="Bibliography"/>
        <w:rPr>
          <w:rFonts w:cs="Times New Roman"/>
        </w:rPr>
      </w:pPr>
      <w:bookmarkStart w:id="103" w:name="ref-Renna_2008"/>
      <w:bookmarkEnd w:id="102"/>
      <w:r w:rsidRPr="004D7AFD">
        <w:rPr>
          <w:rFonts w:cs="Times New Roman"/>
        </w:rPr>
        <w:t xml:space="preserve">Renna, Francesco. 2008. “Alcohol Abuse, Alcoholism, and Labor Market Outcomes: Looking for the Missing Link.” </w:t>
      </w:r>
      <w:r w:rsidRPr="004D7AFD">
        <w:rPr>
          <w:rFonts w:cs="Times New Roman"/>
          <w:i/>
          <w:iCs/>
        </w:rPr>
        <w:t>ILR Review</w:t>
      </w:r>
      <w:r w:rsidRPr="004D7AFD">
        <w:rPr>
          <w:rFonts w:cs="Times New Roman"/>
        </w:rPr>
        <w:t xml:space="preserve"> 62 (1): 92–103. </w:t>
      </w:r>
      <w:hyperlink r:id="rId66">
        <w:r w:rsidRPr="004D7AFD">
          <w:rPr>
            <w:rStyle w:val="Hyperlink"/>
            <w:rFonts w:cs="Times New Roman"/>
          </w:rPr>
          <w:t>https://doi.org/10.1177/001979390806200105</w:t>
        </w:r>
      </w:hyperlink>
      <w:r w:rsidRPr="004D7AFD">
        <w:rPr>
          <w:rFonts w:cs="Times New Roman"/>
        </w:rPr>
        <w:t>.</w:t>
      </w:r>
    </w:p>
    <w:p w14:paraId="3D021BC3" w14:textId="77777777" w:rsidR="00697045" w:rsidRPr="004D7AFD" w:rsidRDefault="00000000">
      <w:pPr>
        <w:pStyle w:val="Bibliography"/>
        <w:rPr>
          <w:rFonts w:cs="Times New Roman"/>
        </w:rPr>
      </w:pPr>
      <w:bookmarkStart w:id="104" w:name="ref-Ripatti_2000"/>
      <w:bookmarkEnd w:id="103"/>
      <w:r w:rsidRPr="004D7AFD">
        <w:rPr>
          <w:rFonts w:cs="Times New Roman"/>
        </w:rPr>
        <w:t xml:space="preserve">Ripatti, Samuli, and Juni Palmgren. 2000. “Estimation of Multivariate Frailty Models Using Penalized Partial Likelihood.” Frailty, duration. </w:t>
      </w:r>
      <w:r w:rsidRPr="004D7AFD">
        <w:rPr>
          <w:rFonts w:cs="Times New Roman"/>
          <w:i/>
          <w:iCs/>
        </w:rPr>
        <w:t>Biometrics</w:t>
      </w:r>
      <w:r w:rsidRPr="004D7AFD">
        <w:rPr>
          <w:rFonts w:cs="Times New Roman"/>
        </w:rPr>
        <w:t xml:space="preserve"> 56 (4): 1016–22. https://doi.org/</w:t>
      </w:r>
      <w:hyperlink r:id="rId67">
        <w:r w:rsidRPr="004D7AFD">
          <w:rPr>
            <w:rStyle w:val="Hyperlink"/>
            <w:rFonts w:cs="Times New Roman"/>
          </w:rPr>
          <w:t>https://doi.org/10.1111/j.0006-341X.2000.01016.x</w:t>
        </w:r>
      </w:hyperlink>
      <w:r w:rsidRPr="004D7AFD">
        <w:rPr>
          <w:rFonts w:cs="Times New Roman"/>
        </w:rPr>
        <w:t>.</w:t>
      </w:r>
    </w:p>
    <w:p w14:paraId="14EFE2CE" w14:textId="77777777" w:rsidR="00697045" w:rsidRPr="004D7AFD" w:rsidRDefault="00000000">
      <w:pPr>
        <w:pStyle w:val="Bibliography"/>
        <w:rPr>
          <w:rFonts w:cs="Times New Roman"/>
        </w:rPr>
      </w:pPr>
      <w:bookmarkStart w:id="105" w:name="ref-Seib.etal_2014"/>
      <w:bookmarkEnd w:id="104"/>
      <w:r w:rsidRPr="004D7AFD">
        <w:rPr>
          <w:rFonts w:cs="Times New Roman"/>
        </w:rPr>
        <w:t xml:space="preserve">Seib, Charrlotte, Eliza Whiteside, Kathryn Lee, Janice Humphreys, Tiet Hanh Dao Tran, Lisa Chopin, and Debra Anderson. 2014. “Stress, Lifestyle, and Quality of Life in Midlife and Older Australian Women: Results from the Stress and the Health of Women Study.” </w:t>
      </w:r>
      <w:r w:rsidRPr="004D7AFD">
        <w:rPr>
          <w:rFonts w:cs="Times New Roman"/>
          <w:i/>
          <w:iCs/>
        </w:rPr>
        <w:t>Women’s Health Issues</w:t>
      </w:r>
      <w:r w:rsidRPr="004D7AFD">
        <w:rPr>
          <w:rFonts w:cs="Times New Roman"/>
        </w:rPr>
        <w:t xml:space="preserve"> 24 (1): e43–52. </w:t>
      </w:r>
      <w:hyperlink r:id="rId68">
        <w:r w:rsidRPr="004D7AFD">
          <w:rPr>
            <w:rStyle w:val="Hyperlink"/>
            <w:rFonts w:cs="Times New Roman"/>
          </w:rPr>
          <w:t>https://doi.org/10.1016/j.whi.2013.11.004</w:t>
        </w:r>
      </w:hyperlink>
      <w:r w:rsidRPr="004D7AFD">
        <w:rPr>
          <w:rFonts w:cs="Times New Roman"/>
        </w:rPr>
        <w:t>.</w:t>
      </w:r>
    </w:p>
    <w:p w14:paraId="51DCBFF1" w14:textId="77777777" w:rsidR="00697045" w:rsidRPr="004D7AFD" w:rsidRDefault="00000000">
      <w:pPr>
        <w:pStyle w:val="Bibliography"/>
        <w:rPr>
          <w:rFonts w:cs="Times New Roman"/>
        </w:rPr>
      </w:pPr>
      <w:bookmarkStart w:id="106" w:name="ref-Shalev.Belsky_2016"/>
      <w:bookmarkEnd w:id="105"/>
      <w:r w:rsidRPr="004D7AFD">
        <w:rPr>
          <w:rFonts w:cs="Times New Roman"/>
        </w:rPr>
        <w:t xml:space="preserve">Shalev, Idan, and Jay Belsky. 2016. “Early-Life Stress and Reproductive Cost: A Two-Hit Developmental Model of Accelerated Aging?” Ageing Biology, Genetics,Neuroscience. </w:t>
      </w:r>
      <w:r w:rsidRPr="004D7AFD">
        <w:rPr>
          <w:rFonts w:cs="Times New Roman"/>
          <w:i/>
          <w:iCs/>
        </w:rPr>
        <w:t>Medical Hypotheses</w:t>
      </w:r>
      <w:r w:rsidRPr="004D7AFD">
        <w:rPr>
          <w:rFonts w:cs="Times New Roman"/>
        </w:rPr>
        <w:t xml:space="preserve"> 90: 41–47. </w:t>
      </w:r>
      <w:hyperlink r:id="rId69">
        <w:r w:rsidRPr="004D7AFD">
          <w:rPr>
            <w:rStyle w:val="Hyperlink"/>
            <w:rFonts w:cs="Times New Roman"/>
          </w:rPr>
          <w:t>https://doi.org/10.1016/j.mehy.2016.03.002</w:t>
        </w:r>
      </w:hyperlink>
      <w:r w:rsidRPr="004D7AFD">
        <w:rPr>
          <w:rFonts w:cs="Times New Roman"/>
        </w:rPr>
        <w:t>.</w:t>
      </w:r>
    </w:p>
    <w:p w14:paraId="1CBC68DA" w14:textId="77777777" w:rsidR="00697045" w:rsidRPr="004D7AFD" w:rsidRDefault="00000000">
      <w:pPr>
        <w:pStyle w:val="Bibliography"/>
        <w:rPr>
          <w:rFonts w:cs="Times New Roman"/>
        </w:rPr>
      </w:pPr>
      <w:bookmarkStart w:id="107" w:name="ref-Shalev.etal_2013"/>
      <w:bookmarkEnd w:id="106"/>
      <w:r w:rsidRPr="004D7AFD">
        <w:rPr>
          <w:rFonts w:cs="Times New Roman"/>
        </w:rPr>
        <w:t xml:space="preserve">Shalev, Idan, Sonja Entringer, Pathik D. Wadhwa, Owen M. Wolkowitz, Eli Puterman, Jue Lin, and Elissa S. Epel. 2013. “Stress and Telomere Biology: A Lifespan Perspective.” </w:t>
      </w:r>
      <w:r w:rsidRPr="004D7AFD">
        <w:rPr>
          <w:rFonts w:cs="Times New Roman"/>
          <w:i/>
          <w:iCs/>
        </w:rPr>
        <w:t>Psychoneuroendocrinology</w:t>
      </w:r>
      <w:r w:rsidRPr="004D7AFD">
        <w:rPr>
          <w:rFonts w:cs="Times New Roman"/>
        </w:rPr>
        <w:t xml:space="preserve"> 38 (9): 1835–42. </w:t>
      </w:r>
      <w:hyperlink r:id="rId70">
        <w:r w:rsidRPr="004D7AFD">
          <w:rPr>
            <w:rStyle w:val="Hyperlink"/>
            <w:rFonts w:cs="Times New Roman"/>
          </w:rPr>
          <w:t>https://doi.org/10.1016/j.psyneuen.2013.03.010</w:t>
        </w:r>
      </w:hyperlink>
      <w:r w:rsidRPr="004D7AFD">
        <w:rPr>
          <w:rFonts w:cs="Times New Roman"/>
        </w:rPr>
        <w:t>.</w:t>
      </w:r>
    </w:p>
    <w:p w14:paraId="030F470B" w14:textId="77777777" w:rsidR="00697045" w:rsidRPr="004D7AFD" w:rsidRDefault="00000000">
      <w:pPr>
        <w:pStyle w:val="Bibliography"/>
        <w:rPr>
          <w:rFonts w:cs="Times New Roman"/>
        </w:rPr>
      </w:pPr>
      <w:bookmarkStart w:id="108" w:name="ref-Simons.etal_2016"/>
      <w:bookmarkEnd w:id="107"/>
      <w:r w:rsidRPr="004D7AFD">
        <w:rPr>
          <w:rFonts w:cs="Times New Roman"/>
        </w:rPr>
        <w:t xml:space="preserve">Simons, Ronald L., Man Kit Lei, Steven R. H. Beach, Robert A. Philibert, Carolyn E. Cutrona, Frederick X. Gibbons, and Ashley Barr. 2016. “Economic Hardship and Biological Weathering: The Epigenetics of Aging in a U.S. Sample of Black Women.” Ageing Biology, Genetics,Neuroscience. </w:t>
      </w:r>
      <w:r w:rsidRPr="004D7AFD">
        <w:rPr>
          <w:rFonts w:cs="Times New Roman"/>
          <w:i/>
          <w:iCs/>
        </w:rPr>
        <w:t>Social Science &amp; Medicine</w:t>
      </w:r>
      <w:r w:rsidRPr="004D7AFD">
        <w:rPr>
          <w:rFonts w:cs="Times New Roman"/>
        </w:rPr>
        <w:t xml:space="preserve"> 150: 192–200. </w:t>
      </w:r>
      <w:hyperlink r:id="rId71">
        <w:r w:rsidRPr="004D7AFD">
          <w:rPr>
            <w:rStyle w:val="Hyperlink"/>
            <w:rFonts w:cs="Times New Roman"/>
          </w:rPr>
          <w:t>https://doi.org/10.1016/j.socscimed.2015.12.001</w:t>
        </w:r>
      </w:hyperlink>
      <w:r w:rsidRPr="004D7AFD">
        <w:rPr>
          <w:rFonts w:cs="Times New Roman"/>
        </w:rPr>
        <w:t>.</w:t>
      </w:r>
    </w:p>
    <w:p w14:paraId="7C252E49" w14:textId="77777777" w:rsidR="00697045" w:rsidRPr="004D7AFD" w:rsidRDefault="00000000">
      <w:pPr>
        <w:pStyle w:val="Bibliography"/>
        <w:rPr>
          <w:rFonts w:cs="Times New Roman"/>
        </w:rPr>
      </w:pPr>
      <w:bookmarkStart w:id="109" w:name="ref-Snyder.etal_2008"/>
      <w:bookmarkEnd w:id="108"/>
      <w:r w:rsidRPr="004D7AFD">
        <w:rPr>
          <w:rFonts w:cs="Times New Roman"/>
        </w:rPr>
        <w:t xml:space="preserve">Snyder, Alison R., John T. Parsons, Tamara C. Valovich McLeod, R. Curtis Bay, Lori A. Michener, and Eric L. Sauers. 2008. “Using Disablement Models and Clinical Outcomes Assessment to Enable Evidence-Based Athletic Training Practice, Part i: Disablement Models.” </w:t>
      </w:r>
      <w:r w:rsidRPr="004D7AFD">
        <w:rPr>
          <w:rFonts w:cs="Times New Roman"/>
          <w:i/>
          <w:iCs/>
        </w:rPr>
        <w:t>Journal of Athletic Training</w:t>
      </w:r>
      <w:r w:rsidRPr="004D7AFD">
        <w:rPr>
          <w:rFonts w:cs="Times New Roman"/>
        </w:rPr>
        <w:t xml:space="preserve"> 43 (4): 428–36. </w:t>
      </w:r>
      <w:hyperlink r:id="rId72">
        <w:r w:rsidRPr="004D7AFD">
          <w:rPr>
            <w:rStyle w:val="Hyperlink"/>
            <w:rFonts w:cs="Times New Roman"/>
          </w:rPr>
          <w:t>https://doi.org/10.4085/1062-6050-43.4.428</w:t>
        </w:r>
      </w:hyperlink>
      <w:r w:rsidRPr="004D7AFD">
        <w:rPr>
          <w:rFonts w:cs="Times New Roman"/>
        </w:rPr>
        <w:t>.</w:t>
      </w:r>
    </w:p>
    <w:p w14:paraId="396D96B1" w14:textId="77777777" w:rsidR="00697045" w:rsidRPr="004D7AFD" w:rsidRDefault="00000000">
      <w:pPr>
        <w:pStyle w:val="Bibliography"/>
        <w:rPr>
          <w:rFonts w:cs="Times New Roman"/>
        </w:rPr>
      </w:pPr>
      <w:bookmarkStart w:id="110" w:name="ref-Sonnega.etal_2014"/>
      <w:bookmarkEnd w:id="109"/>
      <w:r w:rsidRPr="004D7AFD">
        <w:rPr>
          <w:rFonts w:cs="Times New Roman"/>
        </w:rPr>
        <w:t xml:space="preserve">Sonnega, A., J. D. Faul, M. B. Ofstedal, K. M. Langa, J. W. Phillips, and D. R. Weir. 2014. “Cohort Profile: The Health and Retirement Study (HRS).” </w:t>
      </w:r>
      <w:r w:rsidRPr="004D7AFD">
        <w:rPr>
          <w:rFonts w:cs="Times New Roman"/>
          <w:i/>
          <w:iCs/>
        </w:rPr>
        <w:t>International Journal of Epidemiology</w:t>
      </w:r>
      <w:r w:rsidRPr="004D7AFD">
        <w:rPr>
          <w:rFonts w:cs="Times New Roman"/>
        </w:rPr>
        <w:t xml:space="preserve"> 43 (2): 576–85. </w:t>
      </w:r>
      <w:hyperlink r:id="rId73">
        <w:r w:rsidRPr="004D7AFD">
          <w:rPr>
            <w:rStyle w:val="Hyperlink"/>
            <w:rFonts w:cs="Times New Roman"/>
          </w:rPr>
          <w:t>https://doi.org/10.1093/ije/dyu067</w:t>
        </w:r>
      </w:hyperlink>
      <w:r w:rsidRPr="004D7AFD">
        <w:rPr>
          <w:rFonts w:cs="Times New Roman"/>
        </w:rPr>
        <w:t>.</w:t>
      </w:r>
    </w:p>
    <w:p w14:paraId="3C3ACB8F" w14:textId="77777777" w:rsidR="00697045" w:rsidRPr="004D7AFD" w:rsidRDefault="00000000">
      <w:pPr>
        <w:pStyle w:val="Bibliography"/>
        <w:rPr>
          <w:rFonts w:cs="Times New Roman"/>
        </w:rPr>
      </w:pPr>
      <w:bookmarkStart w:id="111" w:name="ref-Steffick_2000"/>
      <w:bookmarkEnd w:id="110"/>
      <w:r w:rsidRPr="004D7AFD">
        <w:rPr>
          <w:rFonts w:cs="Times New Roman"/>
        </w:rPr>
        <w:lastRenderedPageBreak/>
        <w:t xml:space="preserve">Steffick, Diane E. 2000. “Documentation of Affective Functioning Measures in the Health and Retirement Study.” </w:t>
      </w:r>
      <w:r w:rsidRPr="004D7AFD">
        <w:rPr>
          <w:rFonts w:cs="Times New Roman"/>
          <w:i/>
          <w:iCs/>
        </w:rPr>
        <w:t>Ann Arbor, MI: University of Michigan</w:t>
      </w:r>
      <w:r w:rsidRPr="004D7AFD">
        <w:rPr>
          <w:rFonts w:cs="Times New Roman"/>
        </w:rPr>
        <w:t xml:space="preserve">. </w:t>
      </w:r>
      <w:hyperlink r:id="rId74">
        <w:r w:rsidRPr="004D7AFD">
          <w:rPr>
            <w:rStyle w:val="Hyperlink"/>
            <w:rFonts w:cs="Times New Roman"/>
          </w:rPr>
          <w:t>http://hrsonline.isr.umich.edu/sitedocs/userg/dr-005.pdf</w:t>
        </w:r>
      </w:hyperlink>
      <w:r w:rsidRPr="004D7AFD">
        <w:rPr>
          <w:rFonts w:cs="Times New Roman"/>
        </w:rPr>
        <w:t>.</w:t>
      </w:r>
    </w:p>
    <w:p w14:paraId="369FFCD3" w14:textId="77777777" w:rsidR="00697045" w:rsidRPr="004D7AFD" w:rsidRDefault="00000000">
      <w:pPr>
        <w:pStyle w:val="Bibliography"/>
        <w:rPr>
          <w:rFonts w:cs="Times New Roman"/>
        </w:rPr>
      </w:pPr>
      <w:bookmarkStart w:id="112" w:name="ref-DiseaseCollaborators_2018"/>
      <w:bookmarkEnd w:id="111"/>
      <w:r w:rsidRPr="004D7AFD">
        <w:rPr>
          <w:rFonts w:cs="Times New Roman"/>
        </w:rPr>
        <w:t xml:space="preserve">The US Burden of Disease Collaborators. 2018. “The State of US Health, 1990-2016: Burden of Diseases, Injuries, and Risk Factors Among US States.” </w:t>
      </w:r>
      <w:r w:rsidRPr="004D7AFD">
        <w:rPr>
          <w:rFonts w:cs="Times New Roman"/>
          <w:i/>
          <w:iCs/>
        </w:rPr>
        <w:t>JAMA</w:t>
      </w:r>
      <w:r w:rsidRPr="004D7AFD">
        <w:rPr>
          <w:rFonts w:cs="Times New Roman"/>
        </w:rPr>
        <w:t xml:space="preserve"> 319 (14): 1444–72. </w:t>
      </w:r>
      <w:hyperlink r:id="rId75">
        <w:r w:rsidRPr="004D7AFD">
          <w:rPr>
            <w:rStyle w:val="Hyperlink"/>
            <w:rFonts w:cs="Times New Roman"/>
          </w:rPr>
          <w:t>https://doi.org/10.1001/jama.2018.0158</w:t>
        </w:r>
      </w:hyperlink>
      <w:r w:rsidRPr="004D7AFD">
        <w:rPr>
          <w:rFonts w:cs="Times New Roman"/>
        </w:rPr>
        <w:t>.</w:t>
      </w:r>
    </w:p>
    <w:p w14:paraId="32B2F642" w14:textId="77777777" w:rsidR="00697045" w:rsidRPr="004D7AFD" w:rsidRDefault="00000000">
      <w:pPr>
        <w:pStyle w:val="Bibliography"/>
        <w:rPr>
          <w:rFonts w:cs="Times New Roman"/>
        </w:rPr>
      </w:pPr>
      <w:bookmarkStart w:id="113" w:name="ref-Therneau_2022"/>
      <w:bookmarkEnd w:id="112"/>
      <w:r w:rsidRPr="004D7AFD">
        <w:rPr>
          <w:rFonts w:cs="Times New Roman"/>
        </w:rPr>
        <w:t xml:space="preserve">Therneau, Terry M. 2022. “Mixed Effects Cox Models.” Frailty, duration. </w:t>
      </w:r>
      <w:r w:rsidRPr="004D7AFD">
        <w:rPr>
          <w:rFonts w:cs="Times New Roman"/>
          <w:i/>
          <w:iCs/>
        </w:rPr>
        <w:t>CRAN Repository</w:t>
      </w:r>
      <w:r w:rsidRPr="004D7AFD">
        <w:rPr>
          <w:rFonts w:cs="Times New Roman"/>
        </w:rPr>
        <w:t xml:space="preserve">. </w:t>
      </w:r>
      <w:hyperlink r:id="rId76">
        <w:r w:rsidRPr="004D7AFD">
          <w:rPr>
            <w:rStyle w:val="Hyperlink"/>
            <w:rFonts w:cs="Times New Roman"/>
          </w:rPr>
          <w:t>https://cran.r-project.org/web/packages/coxme/vignettes/coxme.pdf</w:t>
        </w:r>
      </w:hyperlink>
      <w:r w:rsidRPr="004D7AFD">
        <w:rPr>
          <w:rFonts w:cs="Times New Roman"/>
        </w:rPr>
        <w:t>.</w:t>
      </w:r>
    </w:p>
    <w:p w14:paraId="169E0005" w14:textId="77777777" w:rsidR="00697045" w:rsidRPr="004D7AFD" w:rsidRDefault="00000000">
      <w:pPr>
        <w:pStyle w:val="Bibliography"/>
        <w:rPr>
          <w:rFonts w:cs="Times New Roman"/>
        </w:rPr>
      </w:pPr>
      <w:bookmarkStart w:id="114" w:name="ref-Thornburg.etal_2010"/>
      <w:bookmarkEnd w:id="113"/>
      <w:r w:rsidRPr="004D7AFD">
        <w:rPr>
          <w:rFonts w:cs="Times New Roman"/>
        </w:rPr>
        <w:t xml:space="preserve">Thornburg, Kent L., Jackilen Shannon, Philippe Thuillier, and Mitchell S. Turker. 2010. “In Utero Life and Epigenetic Predisposition for Disease.” Early Childhood events, Health, Epigenetics. In </w:t>
      </w:r>
      <w:r w:rsidRPr="004D7AFD">
        <w:rPr>
          <w:rFonts w:cs="Times New Roman"/>
          <w:i/>
          <w:iCs/>
        </w:rPr>
        <w:t>Epigenetics and Cancer, Part b</w:t>
      </w:r>
      <w:r w:rsidRPr="004D7AFD">
        <w:rPr>
          <w:rFonts w:cs="Times New Roman"/>
        </w:rPr>
        <w:t xml:space="preserve">, 57–78. Elsevier. </w:t>
      </w:r>
      <w:hyperlink r:id="rId77">
        <w:r w:rsidRPr="004D7AFD">
          <w:rPr>
            <w:rStyle w:val="Hyperlink"/>
            <w:rFonts w:cs="Times New Roman"/>
          </w:rPr>
          <w:t>https://doi.org/10.1016/b978-0-12-380864-6.00003-1</w:t>
        </w:r>
      </w:hyperlink>
      <w:r w:rsidRPr="004D7AFD">
        <w:rPr>
          <w:rFonts w:cs="Times New Roman"/>
        </w:rPr>
        <w:t>.</w:t>
      </w:r>
    </w:p>
    <w:p w14:paraId="46738294" w14:textId="77777777" w:rsidR="00697045" w:rsidRPr="004D7AFD" w:rsidRDefault="00000000">
      <w:pPr>
        <w:pStyle w:val="Bibliography"/>
        <w:rPr>
          <w:rFonts w:cs="Times New Roman"/>
        </w:rPr>
      </w:pPr>
      <w:bookmarkStart w:id="115" w:name="ref-Timpel.etal_2019"/>
      <w:bookmarkEnd w:id="114"/>
      <w:r w:rsidRPr="004D7AFD">
        <w:rPr>
          <w:rFonts w:cs="Times New Roman"/>
        </w:rPr>
        <w:t xml:space="preserve">Timpel, Patrick, Lorenz Harst, Doreen Reifegerste, Susann Weihrauch-Blüher, and Peter E. H. Schwarz. 2019. “What Should Governments Be Doing to Prevent Diabetes Throughout the Life Course?” Health and Disability, Public policies. </w:t>
      </w:r>
      <w:r w:rsidRPr="004D7AFD">
        <w:rPr>
          <w:rFonts w:cs="Times New Roman"/>
          <w:i/>
          <w:iCs/>
        </w:rPr>
        <w:t>Diabetologia</w:t>
      </w:r>
      <w:r w:rsidRPr="004D7AFD">
        <w:rPr>
          <w:rFonts w:cs="Times New Roman"/>
        </w:rPr>
        <w:t xml:space="preserve"> 62 (10): 1842–53. </w:t>
      </w:r>
      <w:hyperlink r:id="rId78">
        <w:r w:rsidRPr="004D7AFD">
          <w:rPr>
            <w:rStyle w:val="Hyperlink"/>
            <w:rFonts w:cs="Times New Roman"/>
          </w:rPr>
          <w:t>https://doi.org/10.1007/s00125-019-4941-y</w:t>
        </w:r>
      </w:hyperlink>
      <w:r w:rsidRPr="004D7AFD">
        <w:rPr>
          <w:rFonts w:cs="Times New Roman"/>
        </w:rPr>
        <w:t>.</w:t>
      </w:r>
    </w:p>
    <w:p w14:paraId="58653B89" w14:textId="77777777" w:rsidR="00697045" w:rsidRPr="004D7AFD" w:rsidRDefault="00000000">
      <w:pPr>
        <w:pStyle w:val="Bibliography"/>
        <w:rPr>
          <w:rFonts w:cs="Times New Roman"/>
        </w:rPr>
      </w:pPr>
      <w:bookmarkStart w:id="116" w:name="ref-Vable.etal_2017"/>
      <w:bookmarkEnd w:id="115"/>
      <w:r w:rsidRPr="004D7AFD">
        <w:rPr>
          <w:rFonts w:cs="Times New Roman"/>
        </w:rPr>
        <w:t xml:space="preserve">Vable, Anusha M., Paola Gilsanz, Thu T. Nguyen, Ichiro Kawachi, and M. Maria Glymour. 2017. “Validation of a Theoretically Motivated Approach to Measuring Childhood Socioeconomic Circumstances in the Health and Retirement Study.” IRT, SES, HRS. Edited by Abigail Fraser. </w:t>
      </w:r>
      <w:r w:rsidRPr="004D7AFD">
        <w:rPr>
          <w:rFonts w:cs="Times New Roman"/>
          <w:i/>
          <w:iCs/>
        </w:rPr>
        <w:t>PLOS ONE</w:t>
      </w:r>
      <w:r w:rsidRPr="004D7AFD">
        <w:rPr>
          <w:rFonts w:cs="Times New Roman"/>
        </w:rPr>
        <w:t xml:space="preserve"> 12 (10): e0185898. </w:t>
      </w:r>
      <w:hyperlink r:id="rId79">
        <w:r w:rsidRPr="004D7AFD">
          <w:rPr>
            <w:rStyle w:val="Hyperlink"/>
            <w:rFonts w:cs="Times New Roman"/>
          </w:rPr>
          <w:t>https://doi.org/10.1371/journal.pone.0185898</w:t>
        </w:r>
      </w:hyperlink>
      <w:r w:rsidRPr="004D7AFD">
        <w:rPr>
          <w:rFonts w:cs="Times New Roman"/>
        </w:rPr>
        <w:t>.</w:t>
      </w:r>
    </w:p>
    <w:p w14:paraId="3EA9D375" w14:textId="77777777" w:rsidR="00697045" w:rsidRPr="004D7AFD" w:rsidRDefault="00000000">
      <w:pPr>
        <w:pStyle w:val="Bibliography"/>
        <w:rPr>
          <w:rFonts w:cs="Times New Roman"/>
        </w:rPr>
      </w:pPr>
      <w:bookmarkStart w:id="117" w:name="ref-Vaupel_2010"/>
      <w:bookmarkEnd w:id="116"/>
      <w:r w:rsidRPr="004D7AFD">
        <w:rPr>
          <w:rFonts w:cs="Times New Roman"/>
        </w:rPr>
        <w:t xml:space="preserve">Vaupel, James W. 2010. “Biodemography of Human Ageing.” </w:t>
      </w:r>
      <w:r w:rsidRPr="004D7AFD">
        <w:rPr>
          <w:rFonts w:cs="Times New Roman"/>
          <w:i/>
          <w:iCs/>
        </w:rPr>
        <w:t>Nature</w:t>
      </w:r>
      <w:r w:rsidRPr="004D7AFD">
        <w:rPr>
          <w:rFonts w:cs="Times New Roman"/>
        </w:rPr>
        <w:t xml:space="preserve"> 464 (7288): 536–42. </w:t>
      </w:r>
      <w:hyperlink r:id="rId80">
        <w:r w:rsidRPr="004D7AFD">
          <w:rPr>
            <w:rStyle w:val="Hyperlink"/>
            <w:rFonts w:cs="Times New Roman"/>
          </w:rPr>
          <w:t>https://doi.org/10.1038/nature08984</w:t>
        </w:r>
      </w:hyperlink>
      <w:r w:rsidRPr="004D7AFD">
        <w:rPr>
          <w:rFonts w:cs="Times New Roman"/>
        </w:rPr>
        <w:t>.</w:t>
      </w:r>
    </w:p>
    <w:p w14:paraId="1421FD6F" w14:textId="77777777" w:rsidR="00697045" w:rsidRPr="004D7AFD" w:rsidRDefault="00000000">
      <w:pPr>
        <w:pStyle w:val="Bibliography"/>
        <w:rPr>
          <w:rFonts w:cs="Times New Roman"/>
        </w:rPr>
      </w:pPr>
      <w:bookmarkStart w:id="118" w:name="ref-Vaupel.etal_1979"/>
      <w:bookmarkEnd w:id="117"/>
      <w:r w:rsidRPr="004D7AFD">
        <w:rPr>
          <w:rFonts w:cs="Times New Roman"/>
        </w:rPr>
        <w:t xml:space="preserve">Vaupel, James W., Kenneth G. Manton, and Eric Stallard. 1979. “The Impact of Heterogeneity in Individual Frailty on the Dynamics of Mortality.” Frailty, duration. </w:t>
      </w:r>
      <w:r w:rsidRPr="004D7AFD">
        <w:rPr>
          <w:rFonts w:cs="Times New Roman"/>
          <w:i/>
          <w:iCs/>
        </w:rPr>
        <w:t>Demography</w:t>
      </w:r>
      <w:r w:rsidRPr="004D7AFD">
        <w:rPr>
          <w:rFonts w:cs="Times New Roman"/>
        </w:rPr>
        <w:t xml:space="preserve"> 16 (3): 439–54. </w:t>
      </w:r>
      <w:hyperlink r:id="rId81">
        <w:r w:rsidRPr="004D7AFD">
          <w:rPr>
            <w:rStyle w:val="Hyperlink"/>
            <w:rFonts w:cs="Times New Roman"/>
          </w:rPr>
          <w:t>https://doi.org/10.2307/2061224</w:t>
        </w:r>
      </w:hyperlink>
      <w:r w:rsidRPr="004D7AFD">
        <w:rPr>
          <w:rFonts w:cs="Times New Roman"/>
        </w:rPr>
        <w:t>.</w:t>
      </w:r>
    </w:p>
    <w:p w14:paraId="77043B33" w14:textId="77777777" w:rsidR="00697045" w:rsidRPr="004D7AFD" w:rsidRDefault="00000000">
      <w:pPr>
        <w:pStyle w:val="Bibliography"/>
        <w:rPr>
          <w:rFonts w:cs="Times New Roman"/>
        </w:rPr>
      </w:pPr>
      <w:bookmarkStart w:id="119" w:name="ref-Verbrugge.Jette_1994"/>
      <w:bookmarkEnd w:id="118"/>
      <w:r w:rsidRPr="004D7AFD">
        <w:rPr>
          <w:rFonts w:cs="Times New Roman"/>
        </w:rPr>
        <w:t xml:space="preserve">Verbrugge, Lois M., and Alan M. Jette. 1994. “The Disablement Process.” Disablement Process. </w:t>
      </w:r>
      <w:r w:rsidRPr="004D7AFD">
        <w:rPr>
          <w:rFonts w:cs="Times New Roman"/>
          <w:i/>
          <w:iCs/>
        </w:rPr>
        <w:t>Social Science &amp; Medicine</w:t>
      </w:r>
      <w:r w:rsidRPr="004D7AFD">
        <w:rPr>
          <w:rFonts w:cs="Times New Roman"/>
        </w:rPr>
        <w:t xml:space="preserve"> 38 (1): 1–14. </w:t>
      </w:r>
      <w:hyperlink r:id="rId82">
        <w:r w:rsidRPr="004D7AFD">
          <w:rPr>
            <w:rStyle w:val="Hyperlink"/>
            <w:rFonts w:cs="Times New Roman"/>
          </w:rPr>
          <w:t>https://doi.org/10.1016/0277-9536(94)90294-1</w:t>
        </w:r>
      </w:hyperlink>
      <w:r w:rsidRPr="004D7AFD">
        <w:rPr>
          <w:rFonts w:cs="Times New Roman"/>
        </w:rPr>
        <w:t>.</w:t>
      </w:r>
    </w:p>
    <w:p w14:paraId="78601659" w14:textId="77777777" w:rsidR="00697045" w:rsidRPr="004D7AFD" w:rsidRDefault="00000000">
      <w:pPr>
        <w:pStyle w:val="Bibliography"/>
        <w:rPr>
          <w:rFonts w:cs="Times New Roman"/>
        </w:rPr>
      </w:pPr>
      <w:bookmarkStart w:id="120" w:name="ref-Verbrugge.etal_2017"/>
      <w:bookmarkEnd w:id="119"/>
      <w:r w:rsidRPr="004D7AFD">
        <w:rPr>
          <w:rFonts w:cs="Times New Roman"/>
        </w:rPr>
        <w:t xml:space="preserve">Verbrugge, Lois M., Kenzie Latham, and Philippa J. Clarke. 2017. “Aging with Disability for Midlife and Older Adults.” </w:t>
      </w:r>
      <w:r w:rsidRPr="004D7AFD">
        <w:rPr>
          <w:rFonts w:cs="Times New Roman"/>
          <w:i/>
          <w:iCs/>
        </w:rPr>
        <w:t>Research on Aging</w:t>
      </w:r>
      <w:r w:rsidRPr="004D7AFD">
        <w:rPr>
          <w:rFonts w:cs="Times New Roman"/>
        </w:rPr>
        <w:t xml:space="preserve"> 39 (6): 741–77. </w:t>
      </w:r>
      <w:hyperlink r:id="rId83">
        <w:r w:rsidRPr="004D7AFD">
          <w:rPr>
            <w:rStyle w:val="Hyperlink"/>
            <w:rFonts w:cs="Times New Roman"/>
          </w:rPr>
          <w:t>https://doi.org/10.1177/0164027516681051</w:t>
        </w:r>
      </w:hyperlink>
      <w:r w:rsidRPr="004D7AFD">
        <w:rPr>
          <w:rFonts w:cs="Times New Roman"/>
        </w:rPr>
        <w:t>.</w:t>
      </w:r>
    </w:p>
    <w:p w14:paraId="19465A3B" w14:textId="77777777" w:rsidR="00697045" w:rsidRPr="004D7AFD" w:rsidRDefault="00000000">
      <w:pPr>
        <w:pStyle w:val="Bibliography"/>
        <w:rPr>
          <w:rFonts w:cs="Times New Roman"/>
        </w:rPr>
      </w:pPr>
      <w:bookmarkStart w:id="121" w:name="ref-WHO_2001"/>
      <w:bookmarkEnd w:id="120"/>
      <w:r w:rsidRPr="004D7AFD">
        <w:rPr>
          <w:rFonts w:cs="Times New Roman"/>
        </w:rPr>
        <w:t xml:space="preserve">World Health Organization. 2001. “International Classification of Functioning, Disability and Health.” Technical report. Geneva: World Health Organization. </w:t>
      </w:r>
      <w:hyperlink r:id="rId84">
        <w:r w:rsidRPr="004D7AFD">
          <w:rPr>
            <w:rStyle w:val="Hyperlink"/>
            <w:rFonts w:cs="Times New Roman"/>
          </w:rPr>
          <w:t>https://psychiatr.ru/download/1313?view=name=CF_18.pdf</w:t>
        </w:r>
      </w:hyperlink>
      <w:r w:rsidRPr="004D7AFD">
        <w:rPr>
          <w:rFonts w:cs="Times New Roman"/>
        </w:rPr>
        <w:t>.</w:t>
      </w:r>
    </w:p>
    <w:p w14:paraId="3B0053B0" w14:textId="77777777" w:rsidR="00697045" w:rsidRPr="004D7AFD" w:rsidRDefault="00000000">
      <w:pPr>
        <w:pStyle w:val="Bibliography"/>
        <w:rPr>
          <w:rFonts w:cs="Times New Roman"/>
        </w:rPr>
      </w:pPr>
      <w:bookmarkStart w:id="122" w:name="ref-Wreede.etal_2010"/>
      <w:bookmarkEnd w:id="121"/>
      <w:r w:rsidRPr="004D7AFD">
        <w:rPr>
          <w:rFonts w:cs="Times New Roman"/>
        </w:rPr>
        <w:t xml:space="preserve">Wreede, Liesbeth C. de, Marta Fiocco, and Hein Putter. 2010. “The Mstate Package for Estimation and Prediction in Non- and Semi-Parametric Multi-State and </w:t>
      </w:r>
      <w:r w:rsidRPr="004D7AFD">
        <w:rPr>
          <w:rFonts w:cs="Times New Roman"/>
        </w:rPr>
        <w:lastRenderedPageBreak/>
        <w:t xml:space="preserve">Competing Risks Models.” Duation Analysis. </w:t>
      </w:r>
      <w:r w:rsidRPr="004D7AFD">
        <w:rPr>
          <w:rFonts w:cs="Times New Roman"/>
          <w:i/>
          <w:iCs/>
        </w:rPr>
        <w:t>Computer Methods and Programs in Biomedicine</w:t>
      </w:r>
      <w:r w:rsidRPr="004D7AFD">
        <w:rPr>
          <w:rFonts w:cs="Times New Roman"/>
        </w:rPr>
        <w:t xml:space="preserve"> 99 (3): 261–74. </w:t>
      </w:r>
      <w:hyperlink r:id="rId85">
        <w:r w:rsidRPr="004D7AFD">
          <w:rPr>
            <w:rStyle w:val="Hyperlink"/>
            <w:rFonts w:cs="Times New Roman"/>
          </w:rPr>
          <w:t>https://doi.org/10.1016/j.cmpb.2010.01.001</w:t>
        </w:r>
      </w:hyperlink>
      <w:r w:rsidRPr="004D7AFD">
        <w:rPr>
          <w:rFonts w:cs="Times New Roman"/>
        </w:rPr>
        <w:t>.</w:t>
      </w:r>
    </w:p>
    <w:p w14:paraId="16976101" w14:textId="77777777" w:rsidR="00697045" w:rsidRPr="004D7AFD" w:rsidRDefault="00000000">
      <w:pPr>
        <w:pStyle w:val="Bibliography"/>
        <w:rPr>
          <w:rFonts w:cs="Times New Roman"/>
        </w:rPr>
      </w:pPr>
      <w:bookmarkStart w:id="123" w:name="ref-Zarulli.etal_2018"/>
      <w:bookmarkEnd w:id="122"/>
      <w:r w:rsidRPr="004D7AFD">
        <w:rPr>
          <w:rFonts w:cs="Times New Roman"/>
        </w:rPr>
        <w:t xml:space="preserve">Zarulli, Virginia, Julia A. Barthold Jones, Anna Oksuzyan, Rune Lindahl-Jacobsen, Kaare Christensen, and James W. Vaupel. 2018. “Women Live Longer Than Men Even During Severe Famines and Epidemics.” </w:t>
      </w:r>
      <w:r w:rsidRPr="004D7AFD">
        <w:rPr>
          <w:rFonts w:cs="Times New Roman"/>
          <w:i/>
          <w:iCs/>
        </w:rPr>
        <w:t>Proceedings of the National Academy of Sciences</w:t>
      </w:r>
      <w:r w:rsidRPr="004D7AFD">
        <w:rPr>
          <w:rFonts w:cs="Times New Roman"/>
        </w:rPr>
        <w:t xml:space="preserve"> 115 (4): E832–40. </w:t>
      </w:r>
      <w:hyperlink r:id="rId86">
        <w:r w:rsidRPr="004D7AFD">
          <w:rPr>
            <w:rStyle w:val="Hyperlink"/>
            <w:rFonts w:cs="Times New Roman"/>
          </w:rPr>
          <w:t>https://doi.org/10.1073/pnas.1701535115</w:t>
        </w:r>
      </w:hyperlink>
      <w:r w:rsidRPr="004D7AFD">
        <w:rPr>
          <w:rFonts w:cs="Times New Roman"/>
        </w:rPr>
        <w:t>.</w:t>
      </w:r>
      <w:bookmarkEnd w:id="42"/>
      <w:bookmarkEnd w:id="44"/>
      <w:bookmarkEnd w:id="123"/>
    </w:p>
    <w:sectPr w:rsidR="00697045" w:rsidRPr="004D7AFD">
      <w:footerReference w:type="default" r:id="rId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A033" w14:textId="77777777" w:rsidR="004B6079" w:rsidRDefault="004B6079">
      <w:pPr>
        <w:spacing w:after="0"/>
      </w:pPr>
      <w:r>
        <w:separator/>
      </w:r>
    </w:p>
  </w:endnote>
  <w:endnote w:type="continuationSeparator" w:id="0">
    <w:p w14:paraId="6B08204C" w14:textId="77777777" w:rsidR="004B6079" w:rsidRDefault="004B6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790408"/>
      <w:docPartObj>
        <w:docPartGallery w:val="Page Numbers (Bottom of Page)"/>
        <w:docPartUnique/>
      </w:docPartObj>
    </w:sdtPr>
    <w:sdtEndPr>
      <w:rPr>
        <w:noProof/>
      </w:rPr>
    </w:sdtEndPr>
    <w:sdtContent>
      <w:p w14:paraId="2C5F3F3D"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D09CD3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927F" w14:textId="77777777" w:rsidR="004B6079" w:rsidRDefault="004B6079">
      <w:r>
        <w:separator/>
      </w:r>
    </w:p>
  </w:footnote>
  <w:footnote w:type="continuationSeparator" w:id="0">
    <w:p w14:paraId="352F41EF" w14:textId="77777777" w:rsidR="004B6079" w:rsidRDefault="004B6079">
      <w:r>
        <w:continuationSeparator/>
      </w:r>
    </w:p>
  </w:footnote>
  <w:footnote w:id="1">
    <w:p w14:paraId="6B73EB11" w14:textId="77777777" w:rsidR="00697045" w:rsidRDefault="00000000">
      <w:pPr>
        <w:pStyle w:val="FootnoteText"/>
      </w:pPr>
      <w:r>
        <w:rPr>
          <w:rStyle w:val="FootnoteReference"/>
        </w:rPr>
        <w:footnoteRef/>
      </w:r>
      <w:r>
        <w:t xml:space="preserve"> This paper is dedicated in loving memory of my younger brother, Bishnu Pada Raut, who passed away in New Delhi on February 1, 2019, from lung cancer. He never smoked, never drank, and had normal BMI, CES-D and other standard biomarkers (personally observed) throughout his life. Why are there incidence of diseases and death at premature ages? Scientific community is actively exploring the answers to these questions and the ways to improve life. This paper is an inquiry in this vein. Earlier drafts were presented at the 2019 Annual Conference of the Society for Government Economists, April 5, 2019, Washington, DC; Indian Statistical Institute, Kolkata; and Delhi School of Economics, New Delhi, India. I had many insightful comments from Han Altae-Tran at MIT, Elizabeth Bass at Congressional Budget Office, John Phillips at NIH, and Michael V. Leonesio, Javier Meseguer, David Pattison, Mark Sarney, Alexander Strand and Robert Weathers at SSA and audiences of the conference and seminars. Thanks.  </w:t>
      </w:r>
      <w:r>
        <w:rPr>
          <w:b/>
          <w:bCs/>
        </w:rPr>
        <w:t>Disclaimer:</w:t>
      </w:r>
      <w:r>
        <w:t xml:space="preserve"> The views, thoughts, and opinions expressed in the paper belong solely to the author, and do not necessarily represent the views of any institution, group or individual.</w:t>
      </w:r>
    </w:p>
  </w:footnote>
  <w:footnote w:id="2">
    <w:p w14:paraId="590DE648" w14:textId="77777777" w:rsidR="00697045" w:rsidRDefault="00000000">
      <w:pPr>
        <w:pStyle w:val="FootnoteText"/>
      </w:pPr>
      <w:r>
        <w:rPr>
          <w:rStyle w:val="FootnoteReference"/>
        </w:rPr>
        <w:footnoteRef/>
      </w:r>
      <w:r>
        <w:t xml:space="preserve"> For details, see </w:t>
      </w:r>
      <w:hyperlink r:id="rId1">
        <w:r>
          <w:rPr>
            <w:rStyle w:val="Hyperlink"/>
          </w:rPr>
          <w:t>https://www.ssa.gov/OP_Home/ssact/title02/0223.htm</w:t>
        </w:r>
      </w:hyperlink>
      <w:r>
        <w:t xml:space="preserve"> section 223(d)(2) for the OASDI program, and </w:t>
      </w:r>
      <w:hyperlink r:id="rId2">
        <w:r>
          <w:rPr>
            <w:rStyle w:val="Hyperlink"/>
          </w:rPr>
          <w:t>https://www.ssa.gov/OP_Home/ssact/title16b/1614.htm</w:t>
        </w:r>
      </w:hyperlink>
      <w:r>
        <w:t xml:space="preserve"> paragraph 3(A) for the SSI program.</w:t>
      </w:r>
    </w:p>
  </w:footnote>
  <w:footnote w:id="3">
    <w:p w14:paraId="054842C8" w14:textId="77777777" w:rsidR="00697045" w:rsidRDefault="00000000">
      <w:pPr>
        <w:pStyle w:val="FootnoteText"/>
      </w:pPr>
      <w:r>
        <w:rPr>
          <w:rStyle w:val="FootnoteReference"/>
        </w:rPr>
        <w:footnoteRef/>
      </w:r>
      <w:r>
        <w:t xml:space="preserve"> Nagi model has been adapted by the World Health Organization in their classification scheme of disability, the latest one is World Health Organization (</w:t>
      </w:r>
      <w:hyperlink w:anchor="ref-WHO_2001">
        <w:r>
          <w:rPr>
            <w:rStyle w:val="Hyperlink"/>
          </w:rPr>
          <w:t>2001</w:t>
        </w:r>
      </w:hyperlink>
      <w:r>
        <w:t>). See Bedirhan et al. (</w:t>
      </w:r>
      <w:hyperlink w:anchor="ref-Uestuen.etal_2010">
        <w:r>
          <w:rPr>
            <w:rStyle w:val="Hyperlink"/>
          </w:rPr>
          <w:t>2010</w:t>
        </w:r>
      </w:hyperlink>
      <w:r>
        <w:t>) for an application of the above disablement models in WHO’s 2001 classification system, and see (</w:t>
      </w:r>
      <w:hyperlink w:anchor="ref-Pope.Tarlov_1991_Book">
        <w:r>
          <w:rPr>
            <w:rStyle w:val="Hyperlink"/>
          </w:rPr>
          <w:t>Pope and Tarlov 1991</w:t>
        </w:r>
      </w:hyperlink>
      <w:r>
        <w:t xml:space="preserve">; </w:t>
      </w:r>
      <w:hyperlink w:anchor="ref-InstituteMedicine_2007_Book">
        <w:r>
          <w:rPr>
            <w:rStyle w:val="Hyperlink"/>
          </w:rPr>
          <w:t>Institute of Medicine 2007</w:t>
        </w:r>
      </w:hyperlink>
      <w:r>
        <w:t>) for more on this.</w:t>
      </w:r>
    </w:p>
  </w:footnote>
  <w:footnote w:id="4">
    <w:p w14:paraId="4036B857" w14:textId="77777777" w:rsidR="00697045" w:rsidRDefault="00000000">
      <w:pPr>
        <w:pStyle w:val="FootnoteText"/>
      </w:pPr>
      <w:r>
        <w:rPr>
          <w:rStyle w:val="FootnoteReference"/>
        </w:rPr>
        <w:footnoteRef/>
      </w:r>
      <w:r>
        <w:t xml:space="preserve"> The probability of recovery depends on the type of disability, and it is very small as estimates in Raut (</w:t>
      </w:r>
      <w:hyperlink w:anchor="ref-Raut_2017b">
        <w:r>
          <w:rPr>
            <w:rStyle w:val="Hyperlink"/>
          </w:rPr>
          <w:t>2017</w:t>
        </w:r>
      </w:hyperlink>
      <w:r>
        <w:t>) show using the SSA’s administrative data.</w:t>
      </w:r>
    </w:p>
  </w:footnote>
  <w:footnote w:id="5">
    <w:p w14:paraId="0E4AB89A" w14:textId="77777777" w:rsidR="00697045" w:rsidRDefault="00000000">
      <w:pPr>
        <w:pStyle w:val="FootnoteText"/>
      </w:pPr>
      <w:r>
        <w:rPr>
          <w:rStyle w:val="FootnoteReference"/>
        </w:rPr>
        <w:footnoteRef/>
      </w:r>
      <w:r>
        <w:t xml:space="preserve"> For a derivation,see Andersen et al. (</w:t>
      </w:r>
      <w:hyperlink w:anchor="ref-Andersen.etal_1993_Book">
        <w:r>
          <w:rPr>
            <w:rStyle w:val="Hyperlink"/>
          </w:rPr>
          <w:t>1993</w:t>
        </w:r>
      </w:hyperlink>
      <w:r>
        <w:t>), Andersen and Perme (</w:t>
      </w:r>
      <w:hyperlink w:anchor="ref-Andersen.Perme_2008">
        <w:r>
          <w:rPr>
            <w:rStyle w:val="Hyperlink"/>
          </w:rPr>
          <w:t>2008</w:t>
        </w:r>
      </w:hyperlink>
      <w:r>
        <w:t>), Commenges (</w:t>
      </w:r>
      <w:hyperlink w:anchor="ref-Commenges_2002">
        <w:r>
          <w:rPr>
            <w:rStyle w:val="Hyperlink"/>
          </w:rPr>
          <w:t>2002</w:t>
        </w:r>
      </w:hyperlink>
      <w:r>
        <w:t>), or Cook and Lawless (</w:t>
      </w:r>
      <w:hyperlink w:anchor="ref-Cook.Lawless_2018_book">
        <w:r>
          <w:rPr>
            <w:rStyle w:val="Hyperlink"/>
          </w:rPr>
          <w:t>2018</w:t>
        </w:r>
      </w:hyperlink>
      <w:r>
        <w:t>).</w:t>
      </w:r>
    </w:p>
  </w:footnote>
  <w:footnote w:id="6">
    <w:p w14:paraId="63989B00" w14:textId="77777777" w:rsidR="00697045" w:rsidRDefault="00000000">
      <w:pPr>
        <w:pStyle w:val="FootnoteText"/>
      </w:pPr>
      <w:r>
        <w:rPr>
          <w:rStyle w:val="FootnoteReference"/>
        </w:rPr>
        <w:footnoteRef/>
      </w:r>
      <w:r>
        <w:t xml:space="preserve"> Fleming gave the estimator for complete data, Aalen and Johansen gave the estimator for censored data.</w:t>
      </w:r>
    </w:p>
  </w:footnote>
  <w:footnote w:id="7">
    <w:p w14:paraId="707F2B89" w14:textId="77777777" w:rsidR="00697045" w:rsidRDefault="00000000">
      <w:pPr>
        <w:pStyle w:val="FootnoteText"/>
      </w:pPr>
      <w:r>
        <w:rPr>
          <w:rStyle w:val="FootnoteReference"/>
        </w:rPr>
        <w:footnoteRef/>
      </w:r>
      <w:r>
        <w:t xml:space="preserve"> </w:t>
      </w:r>
      <w:r>
        <w:rPr>
          <w:i/>
          <w:iCs/>
        </w:rPr>
        <w:t>Marginal likelihood function</w:t>
      </w:r>
      <w:r>
        <w:t xml:space="preserve"> is the expectation of the conditional likelihood function given frailty level over the distribution of the frailty. This is also known as the </w:t>
      </w:r>
      <w:r>
        <w:rPr>
          <w:i/>
          <w:iCs/>
        </w:rPr>
        <w:t>mixture likelihood function</w:t>
      </w:r>
      <w:r>
        <w:t>.</w:t>
      </w:r>
    </w:p>
  </w:footnote>
  <w:footnote w:id="8">
    <w:p w14:paraId="59B60D1F" w14:textId="77777777" w:rsidR="00697045" w:rsidRDefault="00000000">
      <w:pPr>
        <w:pStyle w:val="FootnoteText"/>
      </w:pPr>
      <w:r>
        <w:rPr>
          <w:rStyle w:val="FootnoteReference"/>
        </w:rPr>
        <w:footnoteRef/>
      </w:r>
      <w:r>
        <w:t xml:space="preserve"> The specification in both Ripatti and Palmgren (</w:t>
      </w:r>
      <w:hyperlink w:anchor="ref-Ripatti_2000">
        <w:r>
          <w:rPr>
            <w:rStyle w:val="Hyperlink"/>
          </w:rPr>
          <w:t>2000</w:t>
        </w:r>
      </w:hyperlink>
      <w:r>
        <w:t>) and Therneau (</w:t>
      </w:r>
      <w:hyperlink w:anchor="ref-Therneau_2022">
        <w:r>
          <w:rPr>
            <w:rStyle w:val="Hyperlink"/>
          </w:rPr>
          <w:t>2022</w:t>
        </w:r>
      </w:hyperlink>
      <w:r>
        <w:t xml:space="preserve">) are more general. The framework is capable of estimating shared frailty models, groups of records sharing common frailties by specifying appropriate design vectors for the frailty term in </w:t>
      </w:r>
      <w:hyperlink w:anchor="eq-eq7">
        <w:r>
          <w:rPr>
            <w:rStyle w:val="Hyperlink"/>
          </w:rPr>
          <w:t>Equation 6</w:t>
        </w:r>
      </w:hyperlink>
      <w:r>
        <w:t>.</w:t>
      </w:r>
    </w:p>
  </w:footnote>
  <w:footnote w:id="9">
    <w:p w14:paraId="38223CE6" w14:textId="77777777" w:rsidR="00697045" w:rsidRDefault="00000000">
      <w:pPr>
        <w:pStyle w:val="FootnoteText"/>
      </w:pPr>
      <w:r>
        <w:rPr>
          <w:rStyle w:val="FootnoteReference"/>
        </w:rPr>
        <w:footnoteRef/>
      </w:r>
      <w:r>
        <w:t xml:space="preserve">  When </w:t>
      </w: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is a gamma distribution, with mean </w:t>
      </w:r>
      <m:oMath>
        <m:r>
          <w:rPr>
            <w:rFonts w:ascii="Cambria Math" w:hAnsi="Cambria Math"/>
          </w:rPr>
          <m:t>1</m:t>
        </m:r>
      </m:oMath>
      <w:r>
        <w:t xml:space="preserve"> and variance </w:t>
      </w:r>
      <m:oMath>
        <m:r>
          <w:rPr>
            <w:rFonts w:ascii="Cambria Math" w:hAnsi="Cambria Math"/>
          </w:rPr>
          <m:t>θ</m:t>
        </m:r>
      </m:oMath>
      <w:r>
        <w:t xml:space="preserve">, one can derive that </w:t>
      </w:r>
      <m:oMath>
        <m:r>
          <m:rPr>
            <m:scr m:val="script"/>
            <m:sty m:val="p"/>
          </m:rPr>
          <w:rPr>
            <w:rFonts w:ascii="Cambria Math" w:hAnsi="Cambria Math"/>
          </w:rPr>
          <m:t>L</m:t>
        </m:r>
        <m:d>
          <m:dPr>
            <m:ctrlPr>
              <w:rPr>
                <w:rFonts w:ascii="Cambria Math" w:hAnsi="Cambria Math"/>
              </w:rPr>
            </m:ctrlPr>
          </m:dPr>
          <m:e>
            <m:r>
              <w:rPr>
                <w:rFonts w:ascii="Cambria Math" w:hAnsi="Cambria Math"/>
              </w:rPr>
              <m:t>c</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θc</m:t>
                </m:r>
              </m:e>
            </m:d>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sup>
        </m:sSup>
      </m:oMath>
      <w:r>
        <w:t>.</w:t>
      </w:r>
    </w:p>
  </w:footnote>
  <w:footnote w:id="10">
    <w:p w14:paraId="148706D8" w14:textId="77777777" w:rsidR="00697045" w:rsidRDefault="00000000">
      <w:pPr>
        <w:pStyle w:val="FootnoteText"/>
      </w:pPr>
      <w:r>
        <w:rPr>
          <w:rStyle w:val="FootnoteReference"/>
        </w:rPr>
        <w:footnoteRef/>
      </w:r>
      <w:r>
        <w:t xml:space="preserve"> Genetic make-up also controls gene expressions for producing proteins that create diseases but the epigenetic factors creating the stressors are important as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65F26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404EC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53A37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A886D4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F4C611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49EC9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994F68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C8374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22A7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B1607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BBC2F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7E42B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552C3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3B0FC0"/>
    <w:multiLevelType w:val="hybridMultilevel"/>
    <w:tmpl w:val="DD186E2C"/>
    <w:lvl w:ilvl="0" w:tplc="57AAAFA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E39F6"/>
    <w:multiLevelType w:val="multilevel"/>
    <w:tmpl w:val="EC007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C7739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EAE1C6B"/>
    <w:multiLevelType w:val="hybridMultilevel"/>
    <w:tmpl w:val="6256D498"/>
    <w:lvl w:ilvl="0" w:tplc="12105228">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734069">
    <w:abstractNumId w:val="0"/>
  </w:num>
  <w:num w:numId="2" w16cid:durableId="646279027">
    <w:abstractNumId w:val="14"/>
  </w:num>
  <w:num w:numId="3" w16cid:durableId="1325012852">
    <w:abstractNumId w:val="10"/>
  </w:num>
  <w:num w:numId="4" w16cid:durableId="2080899320">
    <w:abstractNumId w:val="8"/>
  </w:num>
  <w:num w:numId="5" w16cid:durableId="254558571">
    <w:abstractNumId w:val="7"/>
  </w:num>
  <w:num w:numId="6" w16cid:durableId="867304005">
    <w:abstractNumId w:val="6"/>
  </w:num>
  <w:num w:numId="7" w16cid:durableId="301693638">
    <w:abstractNumId w:val="5"/>
  </w:num>
  <w:num w:numId="8" w16cid:durableId="385877873">
    <w:abstractNumId w:val="9"/>
  </w:num>
  <w:num w:numId="9" w16cid:durableId="720792887">
    <w:abstractNumId w:val="4"/>
  </w:num>
  <w:num w:numId="10" w16cid:durableId="1786459758">
    <w:abstractNumId w:val="3"/>
  </w:num>
  <w:num w:numId="11" w16cid:durableId="1204253371">
    <w:abstractNumId w:val="2"/>
  </w:num>
  <w:num w:numId="12" w16cid:durableId="1486317378">
    <w:abstractNumId w:val="1"/>
  </w:num>
  <w:num w:numId="13" w16cid:durableId="177083189">
    <w:abstractNumId w:val="13"/>
  </w:num>
  <w:num w:numId="14" w16cid:durableId="1190874880">
    <w:abstractNumId w:val="16"/>
  </w:num>
  <w:num w:numId="15" w16cid:durableId="477891260">
    <w:abstractNumId w:val="15"/>
  </w:num>
  <w:num w:numId="16" w16cid:durableId="664094681">
    <w:abstractNumId w:val="11"/>
  </w:num>
  <w:num w:numId="17" w16cid:durableId="451829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45"/>
    <w:rsid w:val="004B6079"/>
    <w:rsid w:val="004D7AFD"/>
    <w:rsid w:val="006970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698A"/>
  <w15:docId w15:val="{B2C25BC5-4008-4D88-B214-58FE6032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286F"/>
    <w:rPr>
      <w:rFonts w:ascii="Times New Roman" w:hAnsi="Times New Roman"/>
    </w:rPr>
  </w:style>
  <w:style w:type="paragraph" w:styleId="Heading1">
    <w:name w:val="heading 1"/>
    <w:basedOn w:val="Normal"/>
    <w:next w:val="BodyText"/>
    <w:uiPriority w:val="9"/>
    <w:qFormat/>
    <w:rsid w:val="00DF286F"/>
    <w:pPr>
      <w:keepNext/>
      <w:keepLines/>
      <w:numPr>
        <w:numId w:val="15"/>
      </w:numPr>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DF286F"/>
    <w:pPr>
      <w:keepNext/>
      <w:keepLines/>
      <w:numPr>
        <w:ilvl w:val="1"/>
        <w:numId w:val="15"/>
      </w:numPr>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BodyText"/>
    <w:uiPriority w:val="9"/>
    <w:unhideWhenUsed/>
    <w:qFormat/>
    <w:rsid w:val="00DF286F"/>
    <w:pPr>
      <w:keepNext/>
      <w:keepLines/>
      <w:numPr>
        <w:ilvl w:val="2"/>
        <w:numId w:val="15"/>
      </w:numPr>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29715E"/>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29715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29715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6013"/>
    <w:pPr>
      <w:spacing w:before="180" w:after="180" w:line="360" w:lineRule="auto"/>
      <w:ind w:firstLine="360"/>
      <w:jc w:val="both"/>
    </w:pPr>
  </w:style>
  <w:style w:type="paragraph" w:customStyle="1" w:styleId="FirstParagraph">
    <w:name w:val="First Paragraph"/>
    <w:basedOn w:val="BodyText"/>
    <w:next w:val="BodyText"/>
    <w:qFormat/>
  </w:style>
  <w:style w:type="paragraph" w:customStyle="1" w:styleId="Compact">
    <w:name w:val="Compact"/>
    <w:qFormat/>
    <w:rsid w:val="003F69E3"/>
    <w:pPr>
      <w:spacing w:after="0"/>
      <w:jc w:val="center"/>
    </w:pPr>
    <w:rPr>
      <w:rFonts w:ascii="Times New Roman" w:hAnsi="Times New Roman"/>
      <w:sz w:val="20"/>
    </w:rPr>
  </w:style>
  <w:style w:type="paragraph" w:styleId="Title">
    <w:name w:val="Title"/>
    <w:basedOn w:val="Normal"/>
    <w:next w:val="BodyText"/>
    <w:qFormat/>
    <w:rsid w:val="00766D49"/>
    <w:pPr>
      <w:keepNext/>
      <w:keepLines/>
      <w:pBdr>
        <w:top w:val="single" w:sz="4" w:space="1" w:color="auto"/>
      </w:pBdr>
      <w:spacing w:before="480"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38A5"/>
    <w:pPr>
      <w:keepNext/>
      <w:keepLines/>
      <w:jc w:val="center"/>
    </w:pPr>
    <w:rPr>
      <w:rFonts w:ascii="Times New Roman" w:hAnsi="Times New Roman"/>
      <w:color w:val="4F81BD" w:themeColor="accent1"/>
      <w:sz w:val="28"/>
    </w:rPr>
  </w:style>
  <w:style w:type="paragraph" w:styleId="Date">
    <w:name w:val="Date"/>
    <w:next w:val="BodyText"/>
    <w:qFormat/>
    <w:rsid w:val="00A16942"/>
    <w:pPr>
      <w:keepNext/>
      <w:keepLines/>
      <w:pBdr>
        <w:bottom w:val="single" w:sz="18" w:space="1" w:color="auto"/>
      </w:pBdr>
      <w:jc w:val="center"/>
    </w:pPr>
    <w:rPr>
      <w:rFonts w:ascii="Times New Roman" w:hAnsi="Times New Roman"/>
      <w:color w:val="943634" w:themeColor="accent2" w:themeShade="BF"/>
    </w:rPr>
  </w:style>
  <w:style w:type="paragraph" w:customStyle="1" w:styleId="Abstract">
    <w:name w:val="Abstract"/>
    <w:basedOn w:val="Normal"/>
    <w:next w:val="BodyText"/>
    <w:autoRedefine/>
    <w:qFormat/>
    <w:rsid w:val="00AE403F"/>
    <w:pPr>
      <w:keepNext/>
      <w:keepLines/>
      <w:spacing w:before="300" w:after="300"/>
      <w:jc w:val="both"/>
    </w:pPr>
    <w:rPr>
      <w:sz w:val="20"/>
      <w:szCs w:val="20"/>
    </w:rPr>
  </w:style>
  <w:style w:type="paragraph" w:styleId="Bibliography">
    <w:name w:val="Bibliography"/>
    <w:basedOn w:val="Normal"/>
    <w:qFormat/>
    <w:rsid w:val="00B20047"/>
    <w:pPr>
      <w:numPr>
        <w:numId w:val="14"/>
      </w:numPr>
    </w:pPr>
  </w:style>
  <w:style w:type="paragraph" w:styleId="BlockText">
    <w:name w:val="Block Text"/>
    <w:basedOn w:val="BodyText"/>
    <w:next w:val="BodyText"/>
    <w:uiPriority w:val="9"/>
    <w:unhideWhenUsed/>
    <w:qFormat/>
    <w:rsid w:val="00213DE9"/>
    <w:pPr>
      <w:spacing w:before="100" w:after="100"/>
      <w:ind w:left="720" w:right="720"/>
    </w:pPr>
    <w:rPr>
      <w:rFonts w:eastAsiaTheme="majorEastAsia" w:cstheme="majorBidi"/>
      <w:bCs/>
      <w:sz w:val="20"/>
      <w:szCs w:val="20"/>
    </w:rPr>
  </w:style>
  <w:style w:type="paragraph" w:styleId="FootnoteText">
    <w:name w:val="footnote text"/>
    <w:basedOn w:val="Normal"/>
    <w:link w:val="FootnoteTextChar"/>
    <w:uiPriority w:val="9"/>
    <w:unhideWhenUsed/>
    <w:qFormat/>
    <w:rsid w:val="000F43A6"/>
    <w:pPr>
      <w:jc w:val="both"/>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6013"/>
    <w:rPr>
      <w:rFonts w:ascii="Times New Roman" w:hAnsi="Times New Roman"/>
    </w:rPr>
  </w:style>
  <w:style w:type="paragraph" w:styleId="Header">
    <w:name w:val="header"/>
    <w:basedOn w:val="Normal"/>
    <w:link w:val="HeaderChar"/>
    <w:unhideWhenUsed/>
    <w:rsid w:val="0072347C"/>
    <w:pPr>
      <w:tabs>
        <w:tab w:val="center" w:pos="4680"/>
        <w:tab w:val="right" w:pos="9360"/>
      </w:tabs>
      <w:spacing w:after="0"/>
    </w:pPr>
  </w:style>
  <w:style w:type="character" w:customStyle="1" w:styleId="HeaderChar">
    <w:name w:val="Header Char"/>
    <w:basedOn w:val="DefaultParagraphFont"/>
    <w:link w:val="Header"/>
    <w:rsid w:val="0072347C"/>
    <w:rPr>
      <w:rFonts w:ascii="Times New Roman" w:hAnsi="Times New Roman"/>
    </w:rPr>
  </w:style>
  <w:style w:type="paragraph" w:styleId="Footer">
    <w:name w:val="footer"/>
    <w:basedOn w:val="Normal"/>
    <w:link w:val="FooterChar"/>
    <w:autoRedefine/>
    <w:uiPriority w:val="99"/>
    <w:unhideWhenUsed/>
    <w:rsid w:val="0072347C"/>
    <w:pPr>
      <w:tabs>
        <w:tab w:val="center" w:pos="4680"/>
        <w:tab w:val="right" w:pos="9360"/>
      </w:tabs>
      <w:spacing w:after="0"/>
    </w:pPr>
  </w:style>
  <w:style w:type="character" w:customStyle="1" w:styleId="FooterChar">
    <w:name w:val="Footer Char"/>
    <w:basedOn w:val="DefaultParagraphFont"/>
    <w:link w:val="Footer"/>
    <w:uiPriority w:val="99"/>
    <w:rsid w:val="0072347C"/>
    <w:rPr>
      <w:rFonts w:ascii="Times New Roman" w:hAnsi="Times New Roman"/>
    </w:rPr>
  </w:style>
  <w:style w:type="character" w:customStyle="1" w:styleId="FootnoteTextChar">
    <w:name w:val="Footnote Text Char"/>
    <w:basedOn w:val="DefaultParagraphFont"/>
    <w:link w:val="FootnoteText"/>
    <w:uiPriority w:val="9"/>
    <w:rsid w:val="000F43A6"/>
    <w:rPr>
      <w:rFonts w:ascii="Times New Roman" w:hAnsi="Times New Roman"/>
      <w:sz w:val="22"/>
    </w:rPr>
  </w:style>
  <w:style w:type="character" w:customStyle="1" w:styleId="Heading7Char">
    <w:name w:val="Heading 7 Char"/>
    <w:basedOn w:val="DefaultParagraphFont"/>
    <w:link w:val="Heading7"/>
    <w:rsid w:val="0029715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2971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29715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je/dyu192" TargetMode="External"/><Relationship Id="rId18" Type="http://schemas.openxmlformats.org/officeDocument/2006/relationships/hyperlink" Target="https://doi.org/10.1007/s10985-008-9097-x" TargetMode="External"/><Relationship Id="rId26" Type="http://schemas.openxmlformats.org/officeDocument/2006/relationships/hyperlink" Target="https://doi.org/10.1371/journal.pone.0006767" TargetMode="External"/><Relationship Id="rId39" Type="http://schemas.openxmlformats.org/officeDocument/2006/relationships/hyperlink" Target="https://doi.org/10.1056/nejmra072067" TargetMode="External"/><Relationship Id="rId21" Type="http://schemas.openxmlformats.org/officeDocument/2006/relationships/hyperlink" Target="https://doi.org/10.1042/cs0950115" TargetMode="External"/><Relationship Id="rId34" Type="http://schemas.openxmlformats.org/officeDocument/2006/relationships/hyperlink" Target="https://doi.org/10.1201/9781315119731" TargetMode="External"/><Relationship Id="rId42" Type="http://schemas.openxmlformats.org/officeDocument/2006/relationships/hyperlink" Target="https://doi.org/10.1056/nejmra0708473" TargetMode="External"/><Relationship Id="rId47" Type="http://schemas.openxmlformats.org/officeDocument/2006/relationships/hyperlink" Target="https://doi.org/10.1016/j.jeconom.2015.10.001" TargetMode="External"/><Relationship Id="rId50" Type="http://schemas.openxmlformats.org/officeDocument/2006/relationships/hyperlink" Target="https://doi.org/10.2307/2297689." TargetMode="External"/><Relationship Id="rId55" Type="http://schemas.openxmlformats.org/officeDocument/2006/relationships/hyperlink" Target="https://doi.org/10.1007/s11414-011-9234-2" TargetMode="External"/><Relationship Id="rId63" Type="http://schemas.openxmlformats.org/officeDocument/2006/relationships/hyperlink" Target="https://doi.org/10.17226/1579" TargetMode="External"/><Relationship Id="rId68" Type="http://schemas.openxmlformats.org/officeDocument/2006/relationships/hyperlink" Target="https://doi.org/10.1016/j.whi.2013.11.004" TargetMode="External"/><Relationship Id="rId76" Type="http://schemas.openxmlformats.org/officeDocument/2006/relationships/hyperlink" Target="https://cran.r-project.org/web/packages/coxme/vignettes/coxme.pdf" TargetMode="External"/><Relationship Id="rId84" Type="http://schemas.openxmlformats.org/officeDocument/2006/relationships/hyperlink" Target="https://psychiatr.ru/download/1313?view=name=CF_18.pdf"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i.org/10.1016/j.socscimed.2015.12.001" TargetMode="External"/><Relationship Id="rId2" Type="http://schemas.openxmlformats.org/officeDocument/2006/relationships/styles" Target="styles.xml"/><Relationship Id="rId16" Type="http://schemas.openxmlformats.org/officeDocument/2006/relationships/hyperlink" Target="https://pdfs.semanticscholar.org/d85a/7025441f5685b287b53234ce6456dcd40192.pdf" TargetMode="External"/><Relationship Id="rId29" Type="http://schemas.openxmlformats.org/officeDocument/2006/relationships/hyperlink" Target="https://www.rand.org/content/dam/rand/www/external/labor/aging/dataprod/randhrs1992_2014v2.pdf" TargetMode="External"/><Relationship Id="rId11" Type="http://schemas.openxmlformats.org/officeDocument/2006/relationships/hyperlink" Target="https://doi.org/10.1007/978-0-387-68560-1" TargetMode="External"/><Relationship Id="rId24" Type="http://schemas.openxmlformats.org/officeDocument/2006/relationships/hyperlink" Target="https://doi.org/10.2471/blt.09.067231" TargetMode="External"/><Relationship Id="rId32" Type="http://schemas.openxmlformats.org/officeDocument/2006/relationships/hyperlink" Target="https://doi.org/10.1191/0962280202sm279ra" TargetMode="External"/><Relationship Id="rId37" Type="http://schemas.openxmlformats.org/officeDocument/2006/relationships/hyperlink" Target="https://books.google.com/books?id=9Xm0AAAAQBAJ" TargetMode="External"/><Relationship Id="rId40" Type="http://schemas.openxmlformats.org/officeDocument/2006/relationships/hyperlink" Target="https://doi.org/10.1093/workar/wax032" TargetMode="External"/><Relationship Id="rId45" Type="http://schemas.openxmlformats.org/officeDocument/2006/relationships/hyperlink" Target="https://doi.org/10.1016/0014-4827(65)90211-9" TargetMode="External"/><Relationship Id="rId53" Type="http://schemas.openxmlformats.org/officeDocument/2006/relationships/hyperlink" Target="https://doi.org/10.2307/146277" TargetMode="External"/><Relationship Id="rId58" Type="http://schemas.openxmlformats.org/officeDocument/2006/relationships/hyperlink" Target="https://doi.org/10.3109/09638289709166831" TargetMode="External"/><Relationship Id="rId66" Type="http://schemas.openxmlformats.org/officeDocument/2006/relationships/hyperlink" Target="https://doi.org/10.1177/001979390806200105" TargetMode="External"/><Relationship Id="rId74" Type="http://schemas.openxmlformats.org/officeDocument/2006/relationships/hyperlink" Target="http://hrsonline.isr.umich.edu/sitedocs/userg/dr-005.pdf" TargetMode="External"/><Relationship Id="rId79" Type="http://schemas.openxmlformats.org/officeDocument/2006/relationships/hyperlink" Target="https://doi.org/10.1371/journal.pone.0185898" TargetMode="External"/><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2307/3349677" TargetMode="External"/><Relationship Id="rId82" Type="http://schemas.openxmlformats.org/officeDocument/2006/relationships/hyperlink" Target="https://doi.org/10.1016/0277-9536(94)90294-1" TargetMode="External"/><Relationship Id="rId19" Type="http://schemas.openxmlformats.org/officeDocument/2006/relationships/hyperlink" Target="https://doi.org/10.1016/j.cmet.2016.05.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1/gr.125187.111" TargetMode="External"/><Relationship Id="rId22" Type="http://schemas.openxmlformats.org/officeDocument/2006/relationships/hyperlink" Target="https://doi.org/10.1111/j.1365-2796.2007.01809.x" TargetMode="External"/><Relationship Id="rId27" Type="http://schemas.openxmlformats.org/officeDocument/2006/relationships/hyperlink" Target="https://doi.org/10.1002/gepi.20571" TargetMode="External"/><Relationship Id="rId30" Type="http://schemas.openxmlformats.org/officeDocument/2006/relationships/hyperlink" Target="https://doi.org/10.1146/annurev-statistics-041715-033702" TargetMode="External"/><Relationship Id="rId35" Type="http://schemas.openxmlformats.org/officeDocument/2006/relationships/hyperlink" Target="https://doi.org/10.1091/mbc.e14-06-1084" TargetMode="External"/><Relationship Id="rId43" Type="http://schemas.openxmlformats.org/officeDocument/2006/relationships/hyperlink" Target="https://www.independentliving.org/docs4/hahn2.html" TargetMode="External"/><Relationship Id="rId48" Type="http://schemas.openxmlformats.org/officeDocument/2006/relationships/hyperlink" Target="https://doi.org/10.1017/cbo9781139052160.002" TargetMode="External"/><Relationship Id="rId56" Type="http://schemas.openxmlformats.org/officeDocument/2006/relationships/hyperlink" Target="https://doi.org/10.1093/aje/kwp119" TargetMode="External"/><Relationship Id="rId64" Type="http://schemas.openxmlformats.org/officeDocument/2006/relationships/hyperlink" Target="https://www.ssa.gov/policy/docs/ssb/v77n3/v77n3p15.html" TargetMode="External"/><Relationship Id="rId69" Type="http://schemas.openxmlformats.org/officeDocument/2006/relationships/hyperlink" Target="https://doi.org/10.1016/j.mehy.2016.03.002" TargetMode="External"/><Relationship Id="rId77" Type="http://schemas.openxmlformats.org/officeDocument/2006/relationships/hyperlink" Target="https://doi.org/10.1016/b978-0-12-380864-6.00003-1" TargetMode="External"/><Relationship Id="rId8" Type="http://schemas.openxmlformats.org/officeDocument/2006/relationships/image" Target="media/image2.png"/><Relationship Id="rId51" Type="http://schemas.openxmlformats.org/officeDocument/2006/relationships/hyperlink" Target="https://doi.org/10.1186/gb-2013-14-10-r115" TargetMode="External"/><Relationship Id="rId72" Type="http://schemas.openxmlformats.org/officeDocument/2006/relationships/hyperlink" Target="https://doi.org/10.4085/1062-6050-43.4.428" TargetMode="External"/><Relationship Id="rId80" Type="http://schemas.openxmlformats.org/officeDocument/2006/relationships/hyperlink" Target="https://doi.org/10.1038/nature08984" TargetMode="External"/><Relationship Id="rId85" Type="http://schemas.openxmlformats.org/officeDocument/2006/relationships/hyperlink" Target="https://doi.org/10.1016/j.cmpb.2010.01.001" TargetMode="External"/><Relationship Id="rId3" Type="http://schemas.openxmlformats.org/officeDocument/2006/relationships/settings" Target="settings.xml"/><Relationship Id="rId12" Type="http://schemas.openxmlformats.org/officeDocument/2006/relationships/hyperlink" Target="http://www.jstor.org/stable/4615704" TargetMode="External"/><Relationship Id="rId17" Type="http://schemas.openxmlformats.org/officeDocument/2006/relationships/hyperlink" Target="https://doi.org/10.1007/978-1-4612-4348-9" TargetMode="External"/><Relationship Id="rId25" Type="http://schemas.openxmlformats.org/officeDocument/2006/relationships/hyperlink" Target="https://doi.org/10.1001/jama.1989.03430170057028" TargetMode="External"/><Relationship Id="rId33" Type="http://schemas.openxmlformats.org/officeDocument/2006/relationships/hyperlink" Target="http://www.nber.org/chapters/c11120.pdf" TargetMode="External"/><Relationship Id="rId38" Type="http://schemas.openxmlformats.org/officeDocument/2006/relationships/hyperlink" Target="https://doi.org/10.1073/pnas.0407162101" TargetMode="External"/><Relationship Id="rId46" Type="http://schemas.openxmlformats.org/officeDocument/2006/relationships/hyperlink" Target="https://doi.org/10.1111/j.1465-7295.2008.00163.x" TargetMode="External"/><Relationship Id="rId59" Type="http://schemas.openxmlformats.org/officeDocument/2006/relationships/hyperlink" Target="https://doi.org/10.1161/circulationaha.115.018585" TargetMode="External"/><Relationship Id="rId67" Type="http://schemas.openxmlformats.org/officeDocument/2006/relationships/hyperlink" Target="https://doi.org/10.1111/j.0006-341X.2000.01016.x" TargetMode="External"/><Relationship Id="rId20" Type="http://schemas.openxmlformats.org/officeDocument/2006/relationships/hyperlink" Target="https://doi.org/10.1891/0730-0832.36.3.124" TargetMode="External"/><Relationship Id="rId41" Type="http://schemas.openxmlformats.org/officeDocument/2006/relationships/hyperlink" Target="http://www.jstor.org/stable/2958608" TargetMode="External"/><Relationship Id="rId54" Type="http://schemas.openxmlformats.org/officeDocument/2006/relationships/hyperlink" Target="https://doi.org/10.3389/fcell.2014.00049" TargetMode="External"/><Relationship Id="rId62" Type="http://schemas.openxmlformats.org/officeDocument/2006/relationships/hyperlink" Target="https://doi.org/10.17226/1579" TargetMode="External"/><Relationship Id="rId70" Type="http://schemas.openxmlformats.org/officeDocument/2006/relationships/hyperlink" Target="https://doi.org/10.1016/j.psyneuen.2013.03.010" TargetMode="External"/><Relationship Id="rId75" Type="http://schemas.openxmlformats.org/officeDocument/2006/relationships/hyperlink" Target="https://doi.org/10.1001/jama.2018.0158" TargetMode="External"/><Relationship Id="rId83" Type="http://schemas.openxmlformats.org/officeDocument/2006/relationships/hyperlink" Target="https://doi.org/10.1177/0164027516681051"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135/9781412976251.n4" TargetMode="External"/><Relationship Id="rId23" Type="http://schemas.openxmlformats.org/officeDocument/2006/relationships/hyperlink" Target="https://doi.org/10.3945/ajcn.110.001933" TargetMode="External"/><Relationship Id="rId28" Type="http://schemas.openxmlformats.org/officeDocument/2006/relationships/hyperlink" Target="https://doi.org/10.3389/fpubh.2020.574111" TargetMode="External"/><Relationship Id="rId36" Type="http://schemas.openxmlformats.org/officeDocument/2006/relationships/hyperlink" Target="https://doi.org/10.2307/2297364" TargetMode="External"/><Relationship Id="rId49" Type="http://schemas.openxmlformats.org/officeDocument/2006/relationships/hyperlink" Target="https://doi.org/10.2307/1911491" TargetMode="External"/><Relationship Id="rId57" Type="http://schemas.openxmlformats.org/officeDocument/2006/relationships/hyperlink" Target="https://doi.org/10.1093/geronb/60.2.s93" TargetMode="External"/><Relationship Id="rId10" Type="http://schemas.openxmlformats.org/officeDocument/2006/relationships/image" Target="media/image4.png"/><Relationship Id="rId31" Type="http://schemas.openxmlformats.org/officeDocument/2006/relationships/hyperlink" Target="https://doi.org/10.1073/pnas.1518393112" TargetMode="External"/><Relationship Id="rId44" Type="http://schemas.openxmlformats.org/officeDocument/2006/relationships/hyperlink" Target="https://doi.org/10.1016/j.molcel.2012.10.016" TargetMode="External"/><Relationship Id="rId52" Type="http://schemas.openxmlformats.org/officeDocument/2006/relationships/hyperlink" Target="https://doi.org/10.17226/11859" TargetMode="External"/><Relationship Id="rId60" Type="http://schemas.openxmlformats.org/officeDocument/2006/relationships/hyperlink" Target="https://ci.nii.ac.jp/naid/10015569425/en/" TargetMode="External"/><Relationship Id="rId65" Type="http://schemas.openxmlformats.org/officeDocument/2006/relationships/hyperlink" Target="https://doi.org/10.1177/2321022218802023" TargetMode="External"/><Relationship Id="rId73" Type="http://schemas.openxmlformats.org/officeDocument/2006/relationships/hyperlink" Target="https://doi.org/10.1093/ije/dyu067" TargetMode="External"/><Relationship Id="rId78" Type="http://schemas.openxmlformats.org/officeDocument/2006/relationships/hyperlink" Target="https://doi.org/10.1007/s00125-019-4941-y" TargetMode="External"/><Relationship Id="rId81" Type="http://schemas.openxmlformats.org/officeDocument/2006/relationships/hyperlink" Target="https://doi.org/10.2307/2061224" TargetMode="External"/><Relationship Id="rId86" Type="http://schemas.openxmlformats.org/officeDocument/2006/relationships/hyperlink" Target="https://doi.org/10.1073/pnas.1701535115"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sa.gov/OP_Home/ssact/title16b/1614.htm" TargetMode="External"/><Relationship Id="rId1" Type="http://schemas.openxmlformats.org/officeDocument/2006/relationships/hyperlink" Target="https://www.ssa.gov/OP_Home/ssact/title02/02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53</Pages>
  <Words>19378</Words>
  <Characters>110456</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Title of the paper</vt:lpstr>
    </vt:vector>
  </TitlesOfParts>
  <Company>Social Security Administration</Company>
  <LinksUpToDate>false</LinksUpToDate>
  <CharactersWithSpaces>129575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childhood factors and health pathways to disability and death in mid-ages — a multi-state time-to-event model</dc:title>
  <dc:creator>Lakshmi K. Raut</dc:creator>
  <cp:keywords/>
  <dc:description>The paper studies how early childhood factors and health behaviors are related to incidence of chronic diseases, disability and death in mid-ages in a multi-state time to event model.</dc:description>
  <cp:lastModifiedBy>Raut, Lakshmi</cp:lastModifiedBy>
  <cp:revision>2</cp:revision>
  <dcterms:created xsi:type="dcterms:W3CDTF">2024-10-23T05:06:00Z</dcterms:created>
  <dcterms:modified xsi:type="dcterms:W3CDTF">2024-10-23T05:09:00Z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iblio-style">
    <vt:lpwstr>authoryear</vt:lpwstr>
  </property>
  <property fmtid="{D5CDD505-2E9C-101B-9397-08002B2CF9AE}" pid="3" name="abstract">
    <vt:lpwstr>Developmental programming literature in microbiology emphasizes that much of the process of health development throughout life is determined at the early stage of life by the early childhood epigenetic factors comprised of internal and external environments, health care use, health related behavior, together with the genetic factors. This paper introduces and empirically estimates a statistical multi-state time-to-event event history model of incidence of chronic diseases, disability and death at mid-ages, incorporating childhood factors and health behaviors. Many of the factors at the cellular level are unobserved or imperfectly instrumented with observed data which causes biased estimates of included regressors. This paper corrects for unobserved heterogeneity biases extending statistical techniques from the generally studied two-state models to the multi-state model of this paper. The paper uses the HRS (Health and Retirement Studies) dataset, takes the definition of disability as the health status qualifying for the Social Security’s DI (Disability Insurance) program or the SSI (Supplemental Security Income) program. The paper studies how various childhood factors and health behaviors are associated with probabilities of following various transition paths through the health states of normal health, illness with one-or-more chronic diseases, disability and death before reaching age 65. The paper also carries out quantitative policy analysis of social policies improving the childhood factors of various social groups on their probabilities of maintaining good health, encountering disability or death in mid-ages. Short summary: The paper studies how the early childhood factors and health behaviors are related to incidence of chronic diseases, disability or death in mid-ages in a statistical multi-state time-to-event model.  JEL Classifications: I12, C41, C51. Keywords: Pathways to disability, OASDI, SSI, multistate time-to-event model, mortality, aging.</vt:lpwstr>
  </property>
  <property fmtid="{D5CDD505-2E9C-101B-9397-08002B2CF9AE}" pid="4" name="affiliations">
    <vt:lpwstr/>
  </property>
  <property fmtid="{D5CDD505-2E9C-101B-9397-08002B2CF9AE}" pid="5" name="authors">
    <vt:lpwstr/>
  </property>
  <property fmtid="{D5CDD505-2E9C-101B-9397-08002B2CF9AE}" pid="6" name="biblatexoptions">
    <vt:lpwstr/>
  </property>
  <property fmtid="{D5CDD505-2E9C-101B-9397-08002B2CF9AE}" pid="7" name="biblio-config">
    <vt:lpwstr>True</vt:lpwstr>
  </property>
  <property fmtid="{D5CDD505-2E9C-101B-9397-08002B2CF9AE}" pid="8" name="bibliography">
    <vt:lpwstr>E:/Raut Library/Pathways2Disability.bib</vt:lpwstr>
  </property>
  <property fmtid="{D5CDD505-2E9C-101B-9397-08002B2CF9AE}" pid="9" name="by-affiliation">
    <vt:lpwstr/>
  </property>
  <property fmtid="{D5CDD505-2E9C-101B-9397-08002B2CF9AE}" pid="10" name="by-author">
    <vt:lpwstr/>
  </property>
  <property fmtid="{D5CDD505-2E9C-101B-9397-08002B2CF9AE}" pid="11" name="citecolor">
    <vt:lpwstr>blue</vt:lpwstr>
  </property>
  <property fmtid="{D5CDD505-2E9C-101B-9397-08002B2CF9AE}" pid="12" name="csl">
    <vt:lpwstr>C:/Myprojects/TexRmdConversion/csl-reference-styles/chicago-author-date.csl</vt:lpwstr>
  </property>
  <property fmtid="{D5CDD505-2E9C-101B-9397-08002B2CF9AE}" pid="13" name="date">
    <vt:lpwstr>2024-10-23</vt:lpwstr>
  </property>
  <property fmtid="{D5CDD505-2E9C-101B-9397-08002B2CF9AE}" pid="14" name="editor">
    <vt:lpwstr/>
  </property>
  <property fmtid="{D5CDD505-2E9C-101B-9397-08002B2CF9AE}" pid="15" name="fig-cap-location">
    <vt:lpwstr>top</vt:lpwstr>
  </property>
  <property fmtid="{D5CDD505-2E9C-101B-9397-08002B2CF9AE}" pid="16" name="fontfamily">
    <vt:lpwstr>EB Garamond</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inkcolor">
    <vt:lpwstr>blue</vt:lpwstr>
  </property>
  <property fmtid="{D5CDD505-2E9C-101B-9397-08002B2CF9AE}" pid="23" name="pandoc_args">
    <vt:lpwstr/>
  </property>
  <property fmtid="{D5CDD505-2E9C-101B-9397-08002B2CF9AE}" pid="24" name="tbl-cap-location">
    <vt:lpwstr>top</vt:lpwstr>
  </property>
  <property fmtid="{D5CDD505-2E9C-101B-9397-08002B2CF9AE}" pid="25" name="thanks">
    <vt:lpwstr>This paper is dedicated in loving memory of my younger brother, Bishnu Pada Raut, who passed away in New Delhi on February 1, 2019, from lung cancer. He never smoked, never drank, and had normal BMI, CES-D and other standard biomarkers (personally observed) throughout his life. Why are there incidence of diseases and death at premature ages? Scientific community is actively exploring answers for these questions and the ways to improve life. This paper is an inquiry in this vein. Earlier drafts wre presented at the 2019 Annual Conference of the Society for Government Economists, April 5, 2019, Washington, DC; Indian Statistical Institute, Kolkata; and Delhi School of Economics, New Delhi, India. I had many insightful comments from Han Altae-Tran at MIT, Elizabeth Bass at Congressional Budget Office, John Phillips at NIH, and Michael V. Leonesio, Javier Meseguer, David Pattison, Mark Sarney, Alexander Strand and Robert Weathers at SSA and audiences of the conference and seminars. Thanks.   Disclaimer: The views, thoughts, and opinions expressed in the paper belong solely to the author, and do not necessarily represent the views of any institution, group or individual.</vt:lpwstr>
  </property>
  <property fmtid="{D5CDD505-2E9C-101B-9397-08002B2CF9AE}" pid="26" name="title-block-banner">
    <vt:lpwstr>True</vt:lpwstr>
  </property>
  <property fmtid="{D5CDD505-2E9C-101B-9397-08002B2CF9AE}" pid="27" name="toc-title">
    <vt:lpwstr>Table of contents</vt:lpwstr>
  </property>
  <property fmtid="{D5CDD505-2E9C-101B-9397-08002B2CF9AE}" pid="28" name="urlcolor">
    <vt:lpwstr>Red</vt:lpwstr>
  </property>
</Properties>
</file>