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Technology Stack (Architecture &amp;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8"/>
        <w:gridCol w:w="4788"/>
        <w:tblGridChange w:id="0">
          <w:tblGrid>
            <w:gridCol w:w="4788"/>
            <w:gridCol w:w="47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26-02-2026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highlight w:val="white"/>
                <w:rtl w:val="0"/>
              </w:rPr>
              <w:t xml:space="preserve">LTVIP2026TMIDS53382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i5ttvabx9pb8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ResolveFlow: Online Complaint Registration and Management System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Architectural Style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system adopts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Client-Server Architecture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This style ensures a clear separation between the user-facing interface and the underlying data processing and storage. All communication between these layers is standardized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RESTful APIs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promoting modularity, scalability, and ease of maintenance.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Core System Components &amp; Their Roles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system's functionality is delivered through distinct yet interconnected components: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Frontend (Client-Side):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Manages user interaction and presents the UI/UX.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Functions: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Handles user registration/login, complaint submission, displays user/admin/agent dashboards for tracking, and supports in-app messaging and notifications.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Backend (Server-Side):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central hub for business logic, data validation, and core processing.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Functions: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Manages user accounts, processes complaints (including routing/assignment), handles real-time chat, manages status updates, provides secure APIs, and enforces security policies.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Ensures persistent storage of all system data.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Functions: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Reliably stores and retrieves user profiles, complaint details, messages, and attachment metadata, while enabling efficient querying.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APIs (Application Programming Interfaces):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Defines the communication contract between the frontend and backend.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Functions: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Standardizes data exchange using JSON format, ensuring secure and efficient communication.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External Services/Integrations: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Provides specialized functionalities outside the core application.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Functions: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Primarily responsible for delivering real-time user notifications via email or SMS.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Technology Stack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following technologies have been chosen for their robustness, scalability, and developer-friendliness: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Frontend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UI/Responsiveness: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Bootstrap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Material UI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are used for building a responsive, visually appealing, and consistent user interface across devices.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API Communication: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Axios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used to make efficient HTTP requests from the frontend to the backend APIs.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Backend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Framework: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Express.js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serves as the robust and minimalist web application framework for building the RESTful APIs.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Real-time Communication: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Socket.io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specifically implemented for the in-app messaging/chat feature, enabling low-latency, bidirectional communication between users and agents.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System: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(NoSQL) is selected for its flexibility in handling various data structures, scalability, and performance, particularly suitable for dynamic complaint and chat data.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Scalability and Performance Considerations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chosen architecture and technology stack inherently support scalability and performance: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Stateless Backend: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Express.js backend will be designed to be largely stateless, facilitating easy horizontal scaling by adding more server instances as user load increases.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MongoDB Sharding: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MongoDB's native sharding capabilities offer a clear path for horizontal scaling of the database when data volume grows significantly.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Optimized APIs: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API endpoints will be optimized, and database queries will be crafted for efficiency to ensure quick response times.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Socket.io Efficiency: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Socket.io is a lightweight and efficient protocol for real-time communication, minimizing overhead for chat and live updates.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Deployment Strategy (Render)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Platform: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Render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chosen as the unified cloud platform for deployment, streamlining the hosting process.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Frontend (whether a static site or a web service) and the Backend (Web Service) will be deployed as separate, independently scalable services on Render.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Render's integrated Git capabilities will enable automatic deployments upon code pushes.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features like automatic SSL certificates, custom domains, and environment variable management provided by Render will be leveraged.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MongoDB database will be sourced from a dedicated managed service (e.g., MongoDB Atlas) and securely connected to the Render-deployed backend using connection strings.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comprehensive technology stack and architecture ensure that the Online Complaint Registration and Management System will be robust, scalable, secure, and deliver a high-quality user experience.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A3495B9F9CBD40ADAD4642A3367D11D3_12</vt:lpwstr>
  </property>
</Properties>
</file>