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Layout w:type="fixed"/>
        <w:tblCellMar>
          <w:top w:w="200" w:type="dxa"/>
          <w:left w:w="280" w:type="dxa"/>
          <w:bottom w:w="200" w:type="dxa"/>
          <w:right w:w="280" w:type="dxa"/>
        </w:tblCellMar>
        <w:tblLook w:val="0000" w:firstRow="0" w:lastRow="0" w:firstColumn="0" w:lastColumn="0" w:noHBand="0" w:noVBand="0"/>
      </w:tblPr>
      <w:tblGrid>
        <w:gridCol w:w="9360"/>
      </w:tblGrid>
      <w:tr w:rsidR="00902CC4" w14:paraId="274EEF08" w14:textId="77777777">
        <w:tc>
          <w:tcPr>
            <w:tcW w:w="9360" w:type="dxa"/>
            <w:shd w:val="clear" w:color="auto" w:fill="1A3A5C"/>
          </w:tcPr>
          <w:p w14:paraId="5DACFD39" w14:textId="77777777" w:rsidR="00902CC4" w:rsidRDefault="00000000">
            <w:pPr>
              <w:jc w:val="center"/>
            </w:pPr>
            <w:r>
              <w:rPr>
                <w:b/>
                <w:bCs/>
                <w:color w:val="FFFFFF"/>
                <w:sz w:val="32"/>
                <w:szCs w:val="32"/>
              </w:rPr>
              <w:t>PROJECT REPORT</w:t>
            </w:r>
          </w:p>
          <w:p w14:paraId="507B5A95" w14:textId="77777777" w:rsidR="00902CC4" w:rsidRDefault="00000000">
            <w:pPr>
              <w:spacing w:before="60"/>
              <w:jc w:val="center"/>
            </w:pPr>
            <w:r>
              <w:rPr>
                <w:color w:val="A8C8F0"/>
                <w:sz w:val="20"/>
                <w:szCs w:val="20"/>
              </w:rPr>
              <w:t>Task 5: Cybercrime Awareness Case Study &amp; Prevention Guide  |  Module 5  |  2025–26</w:t>
            </w:r>
          </w:p>
        </w:tc>
      </w:tr>
    </w:tbl>
    <w:p w14:paraId="1A34C4C6" w14:textId="77777777" w:rsidR="00902CC4" w:rsidRDefault="00902CC4">
      <w:pPr>
        <w:spacing w:after="240"/>
      </w:pP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500"/>
        <w:gridCol w:w="6860"/>
      </w:tblGrid>
      <w:tr w:rsidR="00902CC4" w14:paraId="631F0968" w14:textId="77777777">
        <w:tc>
          <w:tcPr>
            <w:tcW w:w="2500" w:type="dxa"/>
            <w:tcBorders>
              <w:top w:val="single" w:sz="2" w:space="0" w:color="CCCCCC"/>
              <w:left w:val="single" w:sz="2" w:space="0" w:color="CCCCCC"/>
              <w:bottom w:val="single" w:sz="2" w:space="0" w:color="CCCCCC"/>
              <w:right w:val="single" w:sz="2" w:space="0" w:color="CCCCCC"/>
            </w:tcBorders>
            <w:shd w:val="clear" w:color="auto" w:fill="E8F1FB"/>
          </w:tcPr>
          <w:p w14:paraId="756DA29D" w14:textId="77777777" w:rsidR="00902CC4" w:rsidRDefault="00000000">
            <w:r>
              <w:rPr>
                <w:b/>
                <w:bCs/>
                <w:color w:val="2E75B6"/>
                <w:sz w:val="22"/>
                <w:szCs w:val="22"/>
              </w:rPr>
              <w:t>Student Name</w:t>
            </w:r>
          </w:p>
        </w:tc>
        <w:tc>
          <w:tcPr>
            <w:tcW w:w="6860" w:type="dxa"/>
            <w:tcBorders>
              <w:top w:val="single" w:sz="2" w:space="0" w:color="CCCCCC"/>
              <w:left w:val="single" w:sz="2" w:space="0" w:color="CCCCCC"/>
              <w:bottom w:val="single" w:sz="2" w:space="0" w:color="CCCCCC"/>
              <w:right w:val="single" w:sz="2" w:space="0" w:color="CCCCCC"/>
            </w:tcBorders>
          </w:tcPr>
          <w:p w14:paraId="0A045434" w14:textId="37FDD530" w:rsidR="00902CC4" w:rsidRDefault="008A6B16">
            <w:r>
              <w:rPr>
                <w:sz w:val="22"/>
                <w:szCs w:val="22"/>
              </w:rPr>
              <w:t>Lakshya Nath</w:t>
            </w:r>
          </w:p>
        </w:tc>
      </w:tr>
      <w:tr w:rsidR="00902CC4" w14:paraId="11212A80" w14:textId="77777777">
        <w:tc>
          <w:tcPr>
            <w:tcW w:w="2500" w:type="dxa"/>
            <w:tcBorders>
              <w:top w:val="single" w:sz="2" w:space="0" w:color="CCCCCC"/>
              <w:left w:val="single" w:sz="2" w:space="0" w:color="CCCCCC"/>
              <w:bottom w:val="single" w:sz="2" w:space="0" w:color="CCCCCC"/>
              <w:right w:val="single" w:sz="2" w:space="0" w:color="CCCCCC"/>
            </w:tcBorders>
            <w:shd w:val="clear" w:color="auto" w:fill="E8F1FB"/>
          </w:tcPr>
          <w:p w14:paraId="38B8D5AA" w14:textId="77777777" w:rsidR="00902CC4" w:rsidRDefault="00000000">
            <w:r>
              <w:rPr>
                <w:b/>
                <w:bCs/>
                <w:color w:val="2E75B6"/>
                <w:sz w:val="22"/>
                <w:szCs w:val="22"/>
              </w:rPr>
              <w:t>Roll Number</w:t>
            </w:r>
          </w:p>
        </w:tc>
        <w:tc>
          <w:tcPr>
            <w:tcW w:w="6860" w:type="dxa"/>
            <w:tcBorders>
              <w:top w:val="single" w:sz="2" w:space="0" w:color="CCCCCC"/>
              <w:left w:val="single" w:sz="2" w:space="0" w:color="CCCCCC"/>
              <w:bottom w:val="single" w:sz="2" w:space="0" w:color="CCCCCC"/>
              <w:right w:val="single" w:sz="2" w:space="0" w:color="CCCCCC"/>
            </w:tcBorders>
          </w:tcPr>
          <w:p w14:paraId="25E9B067" w14:textId="11B192C2" w:rsidR="00902CC4" w:rsidRDefault="00000000">
            <w:r>
              <w:rPr>
                <w:sz w:val="22"/>
                <w:szCs w:val="22"/>
              </w:rPr>
              <w:t>25</w:t>
            </w:r>
            <w:r w:rsidR="008A6B16">
              <w:rPr>
                <w:sz w:val="22"/>
                <w:szCs w:val="22"/>
              </w:rPr>
              <w:t>BCY10109</w:t>
            </w:r>
          </w:p>
        </w:tc>
      </w:tr>
      <w:tr w:rsidR="00902CC4" w14:paraId="603B31F1" w14:textId="77777777">
        <w:tc>
          <w:tcPr>
            <w:tcW w:w="2500" w:type="dxa"/>
            <w:tcBorders>
              <w:top w:val="single" w:sz="2" w:space="0" w:color="CCCCCC"/>
              <w:left w:val="single" w:sz="2" w:space="0" w:color="CCCCCC"/>
              <w:bottom w:val="single" w:sz="2" w:space="0" w:color="CCCCCC"/>
              <w:right w:val="single" w:sz="2" w:space="0" w:color="CCCCCC"/>
            </w:tcBorders>
            <w:shd w:val="clear" w:color="auto" w:fill="E8F1FB"/>
          </w:tcPr>
          <w:p w14:paraId="40682420" w14:textId="77777777" w:rsidR="00902CC4" w:rsidRDefault="00000000">
            <w:r>
              <w:rPr>
                <w:b/>
                <w:bCs/>
                <w:color w:val="2E75B6"/>
                <w:sz w:val="22"/>
                <w:szCs w:val="22"/>
              </w:rPr>
              <w:t>Cybercrime Type</w:t>
            </w:r>
          </w:p>
        </w:tc>
        <w:tc>
          <w:tcPr>
            <w:tcW w:w="6860" w:type="dxa"/>
            <w:tcBorders>
              <w:top w:val="single" w:sz="2" w:space="0" w:color="CCCCCC"/>
              <w:left w:val="single" w:sz="2" w:space="0" w:color="CCCCCC"/>
              <w:bottom w:val="single" w:sz="2" w:space="0" w:color="CCCCCC"/>
              <w:right w:val="single" w:sz="2" w:space="0" w:color="CCCCCC"/>
            </w:tcBorders>
          </w:tcPr>
          <w:p w14:paraId="763EBF3B" w14:textId="77777777" w:rsidR="00902CC4" w:rsidRDefault="00000000">
            <w:r>
              <w:rPr>
                <w:sz w:val="22"/>
                <w:szCs w:val="22"/>
              </w:rPr>
              <w:t>UPI / Online Payment Fraud</w:t>
            </w:r>
          </w:p>
        </w:tc>
      </w:tr>
      <w:tr w:rsidR="00902CC4" w14:paraId="652FCB27" w14:textId="77777777">
        <w:tc>
          <w:tcPr>
            <w:tcW w:w="2500" w:type="dxa"/>
            <w:tcBorders>
              <w:top w:val="single" w:sz="2" w:space="0" w:color="CCCCCC"/>
              <w:left w:val="single" w:sz="2" w:space="0" w:color="CCCCCC"/>
              <w:bottom w:val="single" w:sz="2" w:space="0" w:color="CCCCCC"/>
              <w:right w:val="single" w:sz="2" w:space="0" w:color="CCCCCC"/>
            </w:tcBorders>
            <w:shd w:val="clear" w:color="auto" w:fill="E8F1FB"/>
          </w:tcPr>
          <w:p w14:paraId="59F7DFF6" w14:textId="77777777" w:rsidR="00902CC4" w:rsidRDefault="00000000">
            <w:r>
              <w:rPr>
                <w:b/>
                <w:bCs/>
                <w:color w:val="2E75B6"/>
                <w:sz w:val="22"/>
                <w:szCs w:val="22"/>
              </w:rPr>
              <w:t>Task</w:t>
            </w:r>
          </w:p>
        </w:tc>
        <w:tc>
          <w:tcPr>
            <w:tcW w:w="6860" w:type="dxa"/>
            <w:tcBorders>
              <w:top w:val="single" w:sz="2" w:space="0" w:color="CCCCCC"/>
              <w:left w:val="single" w:sz="2" w:space="0" w:color="CCCCCC"/>
              <w:bottom w:val="single" w:sz="2" w:space="0" w:color="CCCCCC"/>
              <w:right w:val="single" w:sz="2" w:space="0" w:color="CCCCCC"/>
            </w:tcBorders>
          </w:tcPr>
          <w:p w14:paraId="1557D269" w14:textId="77777777" w:rsidR="00902CC4" w:rsidRDefault="00000000">
            <w:r>
              <w:rPr>
                <w:sz w:val="22"/>
                <w:szCs w:val="22"/>
              </w:rPr>
              <w:t>Task 5 – Cybercrime Awareness Case Study &amp; Prevention Guide</w:t>
            </w:r>
          </w:p>
        </w:tc>
      </w:tr>
    </w:tbl>
    <w:p w14:paraId="75917C2B" w14:textId="77777777" w:rsidR="00902CC4" w:rsidRDefault="00902CC4">
      <w:pPr>
        <w:spacing w:after="300"/>
      </w:pPr>
    </w:p>
    <w:p w14:paraId="69557820" w14:textId="77777777" w:rsidR="00902CC4" w:rsidRDefault="00000000">
      <w:pPr>
        <w:pStyle w:val="Heading2"/>
      </w:pPr>
      <w:r>
        <w:t>1. What Surprised Me Most</w:t>
      </w:r>
    </w:p>
    <w:p w14:paraId="0EEE633B" w14:textId="77777777" w:rsidR="00902CC4" w:rsidRDefault="00000000">
      <w:pPr>
        <w:spacing w:after="200" w:line="379" w:lineRule="auto"/>
      </w:pPr>
      <w:r>
        <w:t>While researching UPI payment fraud for this task, what surprised me most was how psychologically sophisticated these scams have become. I had assumed cybercriminals relied primarily on technical hacking — breaking into systems or stealing data through malware. Instead, I discovered that the vast majority of UPI fraud cases in India require no hacking at all. Fraudsters exploit human psychology through urgency, authority, and fear, convincing victims to willingly hand over their PINs or approve fraudulent payment requests themselves.</w:t>
      </w:r>
    </w:p>
    <w:p w14:paraId="6A618EB8" w14:textId="77777777" w:rsidR="00902CC4" w:rsidRDefault="00000000">
      <w:pPr>
        <w:spacing w:after="200" w:line="379" w:lineRule="auto"/>
      </w:pPr>
      <w:r>
        <w:t>It was also alarming to learn from the National Cyber Crime Portal that thousands of such cases are reported every month across India, with college students and first-time digital payment users being among the most frequently targeted groups. The speed of UPI transactions — which settle in seconds — means that by the time a victim realises what has happened, the money is already gone and recovery is extremely difficult.</w:t>
      </w:r>
    </w:p>
    <w:p w14:paraId="3BAD2334" w14:textId="77777777" w:rsidR="00902CC4" w:rsidRDefault="00000000">
      <w:pPr>
        <w:pStyle w:val="Heading2"/>
      </w:pPr>
      <w:r>
        <w:t>2. One Habit I Will Personally Change</w:t>
      </w:r>
    </w:p>
    <w:p w14:paraId="7C2C4D1E" w14:textId="77777777" w:rsidR="00902CC4" w:rsidRDefault="00000000">
      <w:pPr>
        <w:pBdr>
          <w:left w:val="single" w:sz="20" w:space="0" w:color="2E75B6"/>
        </w:pBdr>
        <w:spacing w:after="240" w:line="379" w:lineRule="auto"/>
        <w:ind w:left="360"/>
      </w:pPr>
      <w:r>
        <w:rPr>
          <w:i/>
          <w:iCs/>
          <w:color w:val="1A3A5C"/>
        </w:rPr>
        <w:t>After completing this research, I will stop assuming that a payment request is safe simply because it arrives through a trusted app like Google Pay or PhonePe. Going forward, I will always pause before entering my UPI PIN — even for transactions that appear routine — and verify the payee name character by character. I will also share what I have learned about the ‘collect request’ trick with my family members, particularly those who are newer to UPI payments.</w:t>
      </w:r>
    </w:p>
    <w:sectPr w:rsidR="00902CC4">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CC4"/>
    <w:rsid w:val="003C0F7B"/>
    <w:rsid w:val="008A6B16"/>
    <w:rsid w:val="00902CC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5CC4E"/>
  <w15:docId w15:val="{849D2E49-1766-43DB-8823-450C308AA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color w:val="2E74B5"/>
      <w:sz w:val="32"/>
      <w:szCs w:val="32"/>
    </w:rPr>
  </w:style>
  <w:style w:type="paragraph" w:styleId="Heading2">
    <w:name w:val="heading 2"/>
    <w:basedOn w:val="Heading"/>
    <w:uiPriority w:val="9"/>
    <w:unhideWhenUsed/>
    <w:qFormat/>
    <w:pPr>
      <w:outlineLvl w:val="1"/>
    </w:pPr>
    <w:rPr>
      <w:rFonts w:ascii="Arial" w:eastAsia="Arial" w:hAnsi="Arial" w:cs="Arial"/>
      <w:b/>
      <w:bCs/>
      <w:color w:val="2E75B6"/>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261</Words>
  <Characters>1494</Characters>
  <Application>Microsoft Office Word</Application>
  <DocSecurity>0</DocSecurity>
  <Lines>12</Lines>
  <Paragraphs>3</Paragraphs>
  <ScaleCrop>false</ScaleCrop>
  <Company/>
  <LinksUpToDate>false</LinksUpToDate>
  <CharactersWithSpaces>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Lakshya Nath</cp:lastModifiedBy>
  <cp:revision>3</cp:revision>
  <dcterms:created xsi:type="dcterms:W3CDTF">2026-03-31T04:05:00Z</dcterms:created>
  <dcterms:modified xsi:type="dcterms:W3CDTF">2026-03-31T15:23:00Z</dcterms:modified>
  <dc:language>en-IN</dc:language>
</cp:coreProperties>
</file>