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4"/>
        </w:rPr>
        <w:t>Data Security and Escalation</w:t>
      </w:r>
    </w:p>
    <w:p>
      <w:pPr>
        <w:jc w:val="center"/>
      </w:pPr>
      <w:r>
        <w:rPr>
          <w:i/>
          <w:color w:val="646464"/>
          <w:sz w:val="18"/>
        </w:rPr>
        <w:t>Fictional practice dataset - source document</w:t>
      </w:r>
    </w:p>
    <w:p>
      <w:pPr>
        <w:pStyle w:val="Heading1"/>
      </w:pPr>
      <w:r>
        <w:t>Security Response Procedures</w:t>
      </w:r>
    </w:p>
    <w:tbl>
      <w:tblPr>
        <w:tblStyle w:val="TableGrid"/>
        <w:tblW w:type="auto" w:w="0"/>
        <w:jc w:val="center"/>
        <w:tblLayout w:type="fixed"/>
        <w:tblLook w:firstColumn="1" w:firstRow="1" w:lastColumn="0" w:lastRow="0" w:noHBand="0" w:noVBand="1" w:val="04A0"/>
      </w:tblPr>
      <w:tblGrid>
        <w:gridCol w:w="2232"/>
        <w:gridCol w:w="7272"/>
      </w:tblGrid>
      <w:tr>
        <w:trPr>
          <w:tblHeader w:val="true"/>
          <w:cantSplit/>
        </w:trPr>
        <w:tc>
          <w:tcPr>
            <w:tcW w:type="dxa" w:w="5184"/>
            <w:shd w:fill="1F4E78"/>
            <w:vAlign w:val="center"/>
            <w:tcMar>
              <w:top w:w="90" w:type="dxa"/>
              <w:start w:w="90" w:type="dxa"/>
              <w:bottom w:w="90" w:type="dxa"/>
              <w:end w:w="90" w:type="dxa"/>
            </w:tcMar>
          </w:tcPr>
          <w:p>
            <w:pPr>
              <w:jc w:val="center"/>
            </w:pPr>
            <w:r>
              <w:rPr>
                <w:rFonts w:ascii="Arial" w:hAnsi="Arial"/>
                <w:b/>
                <w:color w:val="FFFFFF"/>
                <w:sz w:val="18"/>
              </w:rPr>
              <w:t>Topic</w:t>
            </w:r>
          </w:p>
        </w:tc>
        <w:tc>
          <w:tcPr>
            <w:tcW w:type="dxa" w:w="5184"/>
            <w:shd w:fill="1F4E78"/>
            <w:vAlign w:val="center"/>
            <w:tcMar>
              <w:top w:w="90" w:type="dxa"/>
              <w:start w:w="90" w:type="dxa"/>
              <w:bottom w:w="90" w:type="dxa"/>
              <w:end w:w="90" w:type="dxa"/>
            </w:tcMar>
          </w:tcPr>
          <w:p>
            <w:pPr>
              <w:jc w:val="center"/>
            </w:pPr>
            <w:r>
              <w:rPr>
                <w:rFonts w:ascii="Arial" w:hAnsi="Arial"/>
                <w:b/>
                <w:color w:val="FFFFFF"/>
                <w:sz w:val="18"/>
              </w:rPr>
              <w:t>Documented procedure</w:t>
            </w:r>
          </w:p>
        </w:tc>
      </w:tr>
      <w:tr>
        <w:trPr>
          <w:cantSplit/>
        </w:trPr>
        <w:tc>
          <w:tcPr>
            <w:tcW w:type="dxa" w:w="2232"/>
            <w:tcMar>
              <w:top w:w="90" w:type="dxa"/>
              <w:start w:w="90" w:type="dxa"/>
              <w:bottom w:w="90" w:type="dxa"/>
              <w:end w:w="90" w:type="dxa"/>
            </w:tcMar>
            <w:vAlign w:val="top"/>
          </w:tcPr>
          <w:p>
            <w:pPr>
              <w:spacing w:after="0"/>
            </w:pPr>
            <w:r>
              <w:rPr>
                <w:rFonts w:ascii="Arial" w:hAnsi="Arial"/>
                <w:sz w:val="16"/>
              </w:rPr>
              <w:t>Phishing Email</w:t>
            </w:r>
          </w:p>
        </w:tc>
        <w:tc>
          <w:tcPr>
            <w:tcW w:type="dxa" w:w="7272"/>
            <w:tcMar>
              <w:top w:w="90" w:type="dxa"/>
              <w:start w:w="90" w:type="dxa"/>
              <w:bottom w:w="90" w:type="dxa"/>
              <w:end w:w="90" w:type="dxa"/>
            </w:tcMar>
            <w:vAlign w:val="top"/>
          </w:tcPr>
          <w:p>
            <w:pPr>
              <w:spacing w:after="0"/>
            </w:pPr>
            <w:r>
              <w:rPr>
                <w:rFonts w:ascii="Arial" w:hAnsi="Arial"/>
                <w:sz w:val="16"/>
              </w:rPr>
              <w:t>Do not click further links or reply. Use the company report-phishing function. If credentials or MFA codes were entered, contact security immediately and change the password from a known-safe device.</w:t>
            </w:r>
          </w:p>
        </w:tc>
      </w:tr>
      <w:tr>
        <w:trPr>
          <w:cantSplit/>
        </w:trPr>
        <w:tc>
          <w:tcPr>
            <w:tcW w:type="dxa" w:w="2232"/>
            <w:shd w:fill="F4F7FA"/>
            <w:tcMar>
              <w:top w:w="90" w:type="dxa"/>
              <w:start w:w="90" w:type="dxa"/>
              <w:bottom w:w="90" w:type="dxa"/>
              <w:end w:w="90" w:type="dxa"/>
            </w:tcMar>
            <w:vAlign w:val="top"/>
          </w:tcPr>
          <w:p>
            <w:pPr>
              <w:spacing w:after="0"/>
            </w:pPr>
            <w:r>
              <w:rPr>
                <w:rFonts w:ascii="Arial" w:hAnsi="Arial"/>
                <w:sz w:val="16"/>
              </w:rPr>
              <w:t>Malware Suspected</w:t>
            </w:r>
          </w:p>
        </w:tc>
        <w:tc>
          <w:tcPr>
            <w:tcW w:type="dxa" w:w="7272"/>
            <w:shd w:fill="F4F7FA"/>
            <w:tcMar>
              <w:top w:w="90" w:type="dxa"/>
              <w:start w:w="90" w:type="dxa"/>
              <w:bottom w:w="90" w:type="dxa"/>
              <w:end w:w="90" w:type="dxa"/>
            </w:tcMar>
            <w:vAlign w:val="top"/>
          </w:tcPr>
          <w:p>
            <w:pPr>
              <w:spacing w:after="0"/>
            </w:pPr>
            <w:r>
              <w:rPr>
                <w:rFonts w:ascii="Arial" w:hAnsi="Arial"/>
                <w:sz w:val="16"/>
              </w:rPr>
              <w:t>Disconnect the device from wired and wireless networks, but do not power it off unless instructed. Record the time and visible message, and contact security response.</w:t>
            </w:r>
          </w:p>
        </w:tc>
      </w:tr>
      <w:tr>
        <w:trPr>
          <w:cantSplit/>
        </w:trPr>
        <w:tc>
          <w:tcPr>
            <w:tcW w:type="dxa" w:w="2232"/>
            <w:tcMar>
              <w:top w:w="90" w:type="dxa"/>
              <w:start w:w="90" w:type="dxa"/>
              <w:bottom w:w="90" w:type="dxa"/>
              <w:end w:w="90" w:type="dxa"/>
            </w:tcMar>
            <w:vAlign w:val="top"/>
          </w:tcPr>
          <w:p>
            <w:pPr>
              <w:spacing w:after="0"/>
            </w:pPr>
            <w:r>
              <w:rPr>
                <w:rFonts w:ascii="Arial" w:hAnsi="Arial"/>
                <w:sz w:val="16"/>
              </w:rPr>
              <w:t>Lost or Stolen Device</w:t>
            </w:r>
          </w:p>
        </w:tc>
        <w:tc>
          <w:tcPr>
            <w:tcW w:type="dxa" w:w="7272"/>
            <w:tcMar>
              <w:top w:w="90" w:type="dxa"/>
              <w:start w:w="90" w:type="dxa"/>
              <w:bottom w:w="90" w:type="dxa"/>
              <w:end w:w="90" w:type="dxa"/>
            </w:tcMar>
            <w:vAlign w:val="top"/>
          </w:tcPr>
          <w:p>
            <w:pPr>
              <w:spacing w:after="0"/>
            </w:pPr>
            <w:r>
              <w:rPr>
                <w:rFonts w:ascii="Arial" w:hAnsi="Arial"/>
                <w:sz w:val="16"/>
              </w:rPr>
              <w:t>Report the device immediately with the asset number, last known location, time last seen, and whether it was unlocked. Security may initiate remote lock or wipe; the assistant cannot perform this action.</w:t>
            </w:r>
          </w:p>
        </w:tc>
      </w:tr>
      <w:tr>
        <w:trPr>
          <w:cantSplit/>
        </w:trPr>
        <w:tc>
          <w:tcPr>
            <w:tcW w:type="dxa" w:w="2232"/>
            <w:shd w:fill="F4F7FA"/>
            <w:tcMar>
              <w:top w:w="90" w:type="dxa"/>
              <w:start w:w="90" w:type="dxa"/>
              <w:bottom w:w="90" w:type="dxa"/>
              <w:end w:w="90" w:type="dxa"/>
            </w:tcMar>
            <w:vAlign w:val="top"/>
          </w:tcPr>
          <w:p>
            <w:pPr>
              <w:spacing w:after="0"/>
            </w:pPr>
            <w:r>
              <w:rPr>
                <w:rFonts w:ascii="Arial" w:hAnsi="Arial"/>
                <w:sz w:val="16"/>
              </w:rPr>
              <w:t>Accidental Data Exposure</w:t>
            </w:r>
          </w:p>
        </w:tc>
        <w:tc>
          <w:tcPr>
            <w:tcW w:type="dxa" w:w="7272"/>
            <w:shd w:fill="F4F7FA"/>
            <w:tcMar>
              <w:top w:w="90" w:type="dxa"/>
              <w:start w:w="90" w:type="dxa"/>
              <w:bottom w:w="90" w:type="dxa"/>
              <w:end w:w="90" w:type="dxa"/>
            </w:tcMar>
            <w:vAlign w:val="top"/>
          </w:tcPr>
          <w:p>
            <w:pPr>
              <w:spacing w:after="0"/>
            </w:pPr>
            <w:r>
              <w:rPr>
                <w:rFonts w:ascii="Arial" w:hAnsi="Arial"/>
                <w:sz w:val="16"/>
              </w:rPr>
              <w:t>Stop further sharing where possible, preserve the email or link, identify the data type and recipients, and report the incident immediately. Do not ask recipients to destroy evidence before security advice.</w:t>
            </w:r>
          </w:p>
        </w:tc>
      </w:tr>
    </w:tbl>
    <w:p>
      <w:pPr>
        <w:spacing w:after="0"/>
      </w:pPr>
    </w:p>
    <w:p>
      <w:pPr>
        <w:pStyle w:val="Heading1"/>
      </w:pPr>
      <w:r>
        <w:t>Access and Evidence Controls</w:t>
      </w:r>
    </w:p>
    <w:tbl>
      <w:tblPr>
        <w:tblStyle w:val="TableGrid"/>
        <w:tblW w:type="auto" w:w="0"/>
        <w:jc w:val="center"/>
        <w:tblLayout w:type="fixed"/>
        <w:tblLook w:firstColumn="1" w:firstRow="1" w:lastColumn="0" w:lastRow="0" w:noHBand="0" w:noVBand="1" w:val="04A0"/>
      </w:tblPr>
      <w:tblGrid>
        <w:gridCol w:w="2232"/>
        <w:gridCol w:w="7272"/>
      </w:tblGrid>
      <w:tr>
        <w:trPr>
          <w:tblHeader w:val="true"/>
          <w:cantSplit/>
        </w:trPr>
        <w:tc>
          <w:tcPr>
            <w:tcW w:type="dxa" w:w="5184"/>
            <w:shd w:fill="1F4E78"/>
            <w:vAlign w:val="center"/>
            <w:tcMar>
              <w:top w:w="90" w:type="dxa"/>
              <w:start w:w="90" w:type="dxa"/>
              <w:bottom w:w="90" w:type="dxa"/>
              <w:end w:w="90" w:type="dxa"/>
            </w:tcMar>
          </w:tcPr>
          <w:p>
            <w:pPr>
              <w:jc w:val="center"/>
            </w:pPr>
            <w:r>
              <w:rPr>
                <w:rFonts w:ascii="Arial" w:hAnsi="Arial"/>
                <w:b/>
                <w:color w:val="FFFFFF"/>
                <w:sz w:val="18"/>
              </w:rPr>
              <w:t>Topic</w:t>
            </w:r>
          </w:p>
        </w:tc>
        <w:tc>
          <w:tcPr>
            <w:tcW w:type="dxa" w:w="5184"/>
            <w:shd w:fill="1F4E78"/>
            <w:vAlign w:val="center"/>
            <w:tcMar>
              <w:top w:w="90" w:type="dxa"/>
              <w:start w:w="90" w:type="dxa"/>
              <w:bottom w:w="90" w:type="dxa"/>
              <w:end w:w="90" w:type="dxa"/>
            </w:tcMar>
          </w:tcPr>
          <w:p>
            <w:pPr>
              <w:jc w:val="center"/>
            </w:pPr>
            <w:r>
              <w:rPr>
                <w:rFonts w:ascii="Arial" w:hAnsi="Arial"/>
                <w:b/>
                <w:color w:val="FFFFFF"/>
                <w:sz w:val="18"/>
              </w:rPr>
              <w:t>Documented procedure</w:t>
            </w:r>
          </w:p>
        </w:tc>
      </w:tr>
      <w:tr>
        <w:trPr>
          <w:cantSplit/>
        </w:trPr>
        <w:tc>
          <w:tcPr>
            <w:tcW w:type="dxa" w:w="2232"/>
            <w:tcMar>
              <w:top w:w="90" w:type="dxa"/>
              <w:start w:w="90" w:type="dxa"/>
              <w:bottom w:w="90" w:type="dxa"/>
              <w:end w:w="90" w:type="dxa"/>
            </w:tcMar>
            <w:vAlign w:val="top"/>
          </w:tcPr>
          <w:p>
            <w:pPr>
              <w:spacing w:after="0"/>
            </w:pPr>
            <w:r>
              <w:rPr>
                <w:rFonts w:ascii="Arial" w:hAnsi="Arial"/>
                <w:sz w:val="16"/>
              </w:rPr>
              <w:t>Privileged Access</w:t>
            </w:r>
          </w:p>
        </w:tc>
        <w:tc>
          <w:tcPr>
            <w:tcW w:type="dxa" w:w="7272"/>
            <w:tcMar>
              <w:top w:w="90" w:type="dxa"/>
              <w:start w:w="90" w:type="dxa"/>
              <w:bottom w:w="90" w:type="dxa"/>
              <w:end w:w="90" w:type="dxa"/>
            </w:tcMar>
            <w:vAlign w:val="top"/>
          </w:tcPr>
          <w:p>
            <w:pPr>
              <w:spacing w:after="0"/>
            </w:pPr>
            <w:r>
              <w:rPr>
                <w:rFonts w:ascii="Arial" w:hAnsi="Arial"/>
                <w:sz w:val="16"/>
              </w:rPr>
              <w:t>Administrator, production, finance-system, or security-tool access requires formal approval and must not be granted through a conversational assistant.</w:t>
            </w:r>
          </w:p>
        </w:tc>
      </w:tr>
      <w:tr>
        <w:trPr>
          <w:cantSplit/>
        </w:trPr>
        <w:tc>
          <w:tcPr>
            <w:tcW w:type="dxa" w:w="2232"/>
            <w:shd w:fill="F4F7FA"/>
            <w:tcMar>
              <w:top w:w="90" w:type="dxa"/>
              <w:start w:w="90" w:type="dxa"/>
              <w:bottom w:w="90" w:type="dxa"/>
              <w:end w:w="90" w:type="dxa"/>
            </w:tcMar>
            <w:vAlign w:val="top"/>
          </w:tcPr>
          <w:p>
            <w:pPr>
              <w:spacing w:after="0"/>
            </w:pPr>
            <w:r>
              <w:rPr>
                <w:rFonts w:ascii="Arial" w:hAnsi="Arial"/>
                <w:sz w:val="16"/>
              </w:rPr>
              <w:t>Evidence Preservation</w:t>
            </w:r>
          </w:p>
        </w:tc>
        <w:tc>
          <w:tcPr>
            <w:tcW w:type="dxa" w:w="7272"/>
            <w:shd w:fill="F4F7FA"/>
            <w:tcMar>
              <w:top w:w="90" w:type="dxa"/>
              <w:start w:w="90" w:type="dxa"/>
              <w:bottom w:w="90" w:type="dxa"/>
              <w:end w:w="90" w:type="dxa"/>
            </w:tcMar>
            <w:vAlign w:val="top"/>
          </w:tcPr>
          <w:p>
            <w:pPr>
              <w:spacing w:after="0"/>
            </w:pPr>
            <w:r>
              <w:rPr>
                <w:rFonts w:ascii="Arial" w:hAnsi="Arial"/>
                <w:sz w:val="16"/>
              </w:rPr>
              <w:t>Do not delete suspicious emails, wipe devices, or alter logs unless instructed by security response. Preserve screenshots, timestamps, sender addresses, filenames, and ticket references.</w:t>
            </w:r>
          </w:p>
        </w:tc>
      </w:tr>
    </w:tbl>
    <w:p>
      <w:pPr>
        <w:spacing w:after="0"/>
      </w:pPr>
    </w:p>
    <w:p>
      <w:pPr>
        <w:pStyle w:val="Heading1"/>
      </w:pPr>
      <w:r>
        <w:t>Escalation Ownership</w:t>
      </w:r>
    </w:p>
    <w:tbl>
      <w:tblPr>
        <w:tblStyle w:val="TableGrid"/>
        <w:tblW w:type="auto" w:w="0"/>
        <w:jc w:val="center"/>
        <w:tblLayout w:type="fixed"/>
        <w:tblLook w:firstColumn="1" w:firstRow="1" w:lastColumn="0" w:lastRow="0" w:noHBand="0" w:noVBand="1" w:val="04A0"/>
      </w:tblPr>
      <w:tblGrid>
        <w:gridCol w:w="2232"/>
        <w:gridCol w:w="7272"/>
      </w:tblGrid>
      <w:tr>
        <w:trPr>
          <w:tblHeader w:val="true"/>
          <w:cantSplit/>
        </w:trPr>
        <w:tc>
          <w:tcPr>
            <w:tcW w:type="dxa" w:w="5184"/>
            <w:shd w:fill="1F4E78"/>
            <w:vAlign w:val="center"/>
            <w:tcMar>
              <w:top w:w="90" w:type="dxa"/>
              <w:start w:w="90" w:type="dxa"/>
              <w:bottom w:w="90" w:type="dxa"/>
              <w:end w:w="90" w:type="dxa"/>
            </w:tcMar>
          </w:tcPr>
          <w:p>
            <w:pPr>
              <w:jc w:val="center"/>
            </w:pPr>
            <w:r>
              <w:rPr>
                <w:rFonts w:ascii="Arial" w:hAnsi="Arial"/>
                <w:b/>
                <w:color w:val="FFFFFF"/>
                <w:sz w:val="18"/>
              </w:rPr>
              <w:t>Topic</w:t>
            </w:r>
          </w:p>
        </w:tc>
        <w:tc>
          <w:tcPr>
            <w:tcW w:type="dxa" w:w="5184"/>
            <w:shd w:fill="1F4E78"/>
            <w:vAlign w:val="center"/>
            <w:tcMar>
              <w:top w:w="90" w:type="dxa"/>
              <w:start w:w="90" w:type="dxa"/>
              <w:bottom w:w="90" w:type="dxa"/>
              <w:end w:w="90" w:type="dxa"/>
            </w:tcMar>
          </w:tcPr>
          <w:p>
            <w:pPr>
              <w:jc w:val="center"/>
            </w:pPr>
            <w:r>
              <w:rPr>
                <w:rFonts w:ascii="Arial" w:hAnsi="Arial"/>
                <w:b/>
                <w:color w:val="FFFFFF"/>
                <w:sz w:val="18"/>
              </w:rPr>
              <w:t>Documented procedure</w:t>
            </w:r>
          </w:p>
        </w:tc>
      </w:tr>
      <w:tr>
        <w:trPr>
          <w:cantSplit/>
        </w:trPr>
        <w:tc>
          <w:tcPr>
            <w:tcW w:type="dxa" w:w="2232"/>
            <w:tcMar>
              <w:top w:w="90" w:type="dxa"/>
              <w:start w:w="90" w:type="dxa"/>
              <w:bottom w:w="90" w:type="dxa"/>
              <w:end w:w="90" w:type="dxa"/>
            </w:tcMar>
            <w:vAlign w:val="top"/>
          </w:tcPr>
          <w:p>
            <w:pPr>
              <w:spacing w:after="0"/>
            </w:pPr>
            <w:r>
              <w:rPr>
                <w:rFonts w:ascii="Arial" w:hAnsi="Arial"/>
                <w:sz w:val="16"/>
              </w:rPr>
              <w:t>Security Response</w:t>
            </w:r>
          </w:p>
        </w:tc>
        <w:tc>
          <w:tcPr>
            <w:tcW w:type="dxa" w:w="7272"/>
            <w:tcMar>
              <w:top w:w="90" w:type="dxa"/>
              <w:start w:w="90" w:type="dxa"/>
              <w:bottom w:w="90" w:type="dxa"/>
              <w:end w:w="90" w:type="dxa"/>
            </w:tcMar>
            <w:vAlign w:val="top"/>
          </w:tcPr>
          <w:p>
            <w:pPr>
              <w:spacing w:after="0"/>
            </w:pPr>
            <w:r>
              <w:rPr>
                <w:rFonts w:ascii="Arial" w:hAnsi="Arial"/>
                <w:sz w:val="16"/>
              </w:rPr>
              <w:t>Phishing with interaction, credential disclosure, malware, lost devices, data exposure, suspicious logins, or active attacks.</w:t>
            </w:r>
          </w:p>
        </w:tc>
      </w:tr>
      <w:tr>
        <w:trPr>
          <w:cantSplit/>
        </w:trPr>
        <w:tc>
          <w:tcPr>
            <w:tcW w:type="dxa" w:w="2232"/>
            <w:shd w:fill="F4F7FA"/>
            <w:tcMar>
              <w:top w:w="90" w:type="dxa"/>
              <w:start w:w="90" w:type="dxa"/>
              <w:bottom w:w="90" w:type="dxa"/>
              <w:end w:w="90" w:type="dxa"/>
            </w:tcMar>
            <w:vAlign w:val="top"/>
          </w:tcPr>
          <w:p>
            <w:pPr>
              <w:spacing w:after="0"/>
            </w:pPr>
            <w:r>
              <w:rPr>
                <w:rFonts w:ascii="Arial" w:hAnsi="Arial"/>
                <w:sz w:val="16"/>
              </w:rPr>
              <w:t>Infrastructure Team</w:t>
            </w:r>
          </w:p>
        </w:tc>
        <w:tc>
          <w:tcPr>
            <w:tcW w:type="dxa" w:w="7272"/>
            <w:shd w:fill="F4F7FA"/>
            <w:tcMar>
              <w:top w:w="90" w:type="dxa"/>
              <w:start w:w="90" w:type="dxa"/>
              <w:bottom w:w="90" w:type="dxa"/>
              <w:end w:w="90" w:type="dxa"/>
            </w:tcMar>
            <w:vAlign w:val="top"/>
          </w:tcPr>
          <w:p>
            <w:pPr>
              <w:spacing w:after="0"/>
            </w:pPr>
            <w:r>
              <w:rPr>
                <w:rFonts w:ascii="Arial" w:hAnsi="Arial"/>
                <w:sz w:val="16"/>
              </w:rPr>
              <w:t>Company-wide outages, server failures, network-site failures, or unavailable core systems.</w:t>
            </w:r>
          </w:p>
        </w:tc>
      </w:tr>
      <w:tr>
        <w:trPr>
          <w:cantSplit/>
        </w:trPr>
        <w:tc>
          <w:tcPr>
            <w:tcW w:type="dxa" w:w="2232"/>
            <w:tcMar>
              <w:top w:w="90" w:type="dxa"/>
              <w:start w:w="90" w:type="dxa"/>
              <w:bottom w:w="90" w:type="dxa"/>
              <w:end w:w="90" w:type="dxa"/>
            </w:tcMar>
            <w:vAlign w:val="top"/>
          </w:tcPr>
          <w:p>
            <w:pPr>
              <w:spacing w:after="0"/>
            </w:pPr>
            <w:r>
              <w:rPr>
                <w:rFonts w:ascii="Arial" w:hAnsi="Arial"/>
                <w:sz w:val="16"/>
              </w:rPr>
              <w:t>Service Desk</w:t>
            </w:r>
          </w:p>
        </w:tc>
        <w:tc>
          <w:tcPr>
            <w:tcW w:type="dxa" w:w="7272"/>
            <w:tcMar>
              <w:top w:w="90" w:type="dxa"/>
              <w:start w:w="90" w:type="dxa"/>
              <w:bottom w:w="90" w:type="dxa"/>
              <w:end w:w="90" w:type="dxa"/>
            </w:tcMar>
            <w:vAlign w:val="top"/>
          </w:tcPr>
          <w:p>
            <w:pPr>
              <w:spacing w:after="0"/>
            </w:pPr>
            <w:r>
              <w:rPr>
                <w:rFonts w:ascii="Arial" w:hAnsi="Arial"/>
                <w:sz w:val="16"/>
              </w:rPr>
              <w:t>Routine password reset, software installation, device setup, or individual non-security incidents.</w:t>
            </w:r>
          </w:p>
        </w:tc>
      </w:tr>
    </w:tbl>
    <w:p>
      <w:pPr>
        <w:spacing w:after="0"/>
      </w:pPr>
    </w:p>
    <w:p>
      <w:pPr>
        <w:pStyle w:val="Heading1"/>
      </w:pPr>
      <w:r>
        <w:t>Assistant Restrictions</w:t>
      </w:r>
    </w:p>
    <w:tbl>
      <w:tblPr>
        <w:tblStyle w:val="TableGrid"/>
        <w:tblW w:type="auto" w:w="0"/>
        <w:jc w:val="center"/>
        <w:tblLayout w:type="fixed"/>
        <w:tblLook w:firstColumn="1" w:firstRow="1" w:lastColumn="0" w:lastRow="0" w:noHBand="0" w:noVBand="1" w:val="04A0"/>
      </w:tblPr>
      <w:tblGrid>
        <w:gridCol w:w="2232"/>
        <w:gridCol w:w="7272"/>
      </w:tblGrid>
      <w:tr>
        <w:trPr>
          <w:tblHeader w:val="true"/>
          <w:cantSplit/>
        </w:trPr>
        <w:tc>
          <w:tcPr>
            <w:tcW w:type="dxa" w:w="5184"/>
            <w:shd w:fill="1F4E78"/>
            <w:vAlign w:val="center"/>
            <w:tcMar>
              <w:top w:w="90" w:type="dxa"/>
              <w:start w:w="90" w:type="dxa"/>
              <w:bottom w:w="90" w:type="dxa"/>
              <w:end w:w="90" w:type="dxa"/>
            </w:tcMar>
          </w:tcPr>
          <w:p>
            <w:pPr>
              <w:jc w:val="center"/>
            </w:pPr>
            <w:r>
              <w:rPr>
                <w:rFonts w:ascii="Arial" w:hAnsi="Arial"/>
                <w:b/>
                <w:color w:val="FFFFFF"/>
                <w:sz w:val="18"/>
              </w:rPr>
              <w:t>Topic</w:t>
            </w:r>
          </w:p>
        </w:tc>
        <w:tc>
          <w:tcPr>
            <w:tcW w:type="dxa" w:w="5184"/>
            <w:shd w:fill="1F4E78"/>
            <w:vAlign w:val="center"/>
            <w:tcMar>
              <w:top w:w="90" w:type="dxa"/>
              <w:start w:w="90" w:type="dxa"/>
              <w:bottom w:w="90" w:type="dxa"/>
              <w:end w:w="90" w:type="dxa"/>
            </w:tcMar>
          </w:tcPr>
          <w:p>
            <w:pPr>
              <w:jc w:val="center"/>
            </w:pPr>
            <w:r>
              <w:rPr>
                <w:rFonts w:ascii="Arial" w:hAnsi="Arial"/>
                <w:b/>
                <w:color w:val="FFFFFF"/>
                <w:sz w:val="18"/>
              </w:rPr>
              <w:t>Documented procedure</w:t>
            </w:r>
          </w:p>
        </w:tc>
      </w:tr>
      <w:tr>
        <w:trPr>
          <w:cantSplit/>
        </w:trPr>
        <w:tc>
          <w:tcPr>
            <w:tcW w:type="dxa" w:w="2232"/>
            <w:tcMar>
              <w:top w:w="90" w:type="dxa"/>
              <w:start w:w="90" w:type="dxa"/>
              <w:bottom w:w="90" w:type="dxa"/>
              <w:end w:w="90" w:type="dxa"/>
            </w:tcMar>
            <w:vAlign w:val="top"/>
          </w:tcPr>
          <w:p>
            <w:pPr>
              <w:spacing w:after="0"/>
            </w:pPr>
            <w:r>
              <w:rPr>
                <w:rFonts w:ascii="Arial" w:hAnsi="Arial"/>
                <w:sz w:val="16"/>
              </w:rPr>
              <w:t>No Closure</w:t>
            </w:r>
          </w:p>
        </w:tc>
        <w:tc>
          <w:tcPr>
            <w:tcW w:type="dxa" w:w="7272"/>
            <w:tcMar>
              <w:top w:w="90" w:type="dxa"/>
              <w:start w:w="90" w:type="dxa"/>
              <w:bottom w:w="90" w:type="dxa"/>
              <w:end w:w="90" w:type="dxa"/>
            </w:tcMar>
            <w:vAlign w:val="top"/>
          </w:tcPr>
          <w:p>
            <w:pPr>
              <w:spacing w:after="0"/>
            </w:pPr>
            <w:r>
              <w:rPr>
                <w:rFonts w:ascii="Arial" w:hAnsi="Arial"/>
                <w:sz w:val="16"/>
              </w:rPr>
              <w:t>The assistant must not state that a device is clean, an account is safe, data was recovered, or an incident is closed.</w:t>
            </w:r>
          </w:p>
        </w:tc>
      </w:tr>
      <w:tr>
        <w:trPr>
          <w:cantSplit/>
        </w:trPr>
        <w:tc>
          <w:tcPr>
            <w:tcW w:type="dxa" w:w="2232"/>
            <w:shd w:fill="F4F7FA"/>
            <w:tcMar>
              <w:top w:w="90" w:type="dxa"/>
              <w:start w:w="90" w:type="dxa"/>
              <w:bottom w:w="90" w:type="dxa"/>
              <w:end w:w="90" w:type="dxa"/>
            </w:tcMar>
            <w:vAlign w:val="top"/>
          </w:tcPr>
          <w:p>
            <w:pPr>
              <w:spacing w:after="0"/>
            </w:pPr>
            <w:r>
              <w:rPr>
                <w:rFonts w:ascii="Arial" w:hAnsi="Arial"/>
                <w:sz w:val="16"/>
              </w:rPr>
              <w:t>Required Citation</w:t>
            </w:r>
          </w:p>
        </w:tc>
        <w:tc>
          <w:tcPr>
            <w:tcW w:type="dxa" w:w="7272"/>
            <w:shd w:fill="F4F7FA"/>
            <w:tcMar>
              <w:top w:w="90" w:type="dxa"/>
              <w:start w:w="90" w:type="dxa"/>
              <w:bottom w:w="90" w:type="dxa"/>
              <w:end w:w="90" w:type="dxa"/>
            </w:tcMar>
            <w:vAlign w:val="top"/>
          </w:tcPr>
          <w:p>
            <w:pPr>
              <w:spacing w:after="0"/>
            </w:pPr>
            <w:r>
              <w:rPr>
                <w:rFonts w:ascii="Arial" w:hAnsi="Arial"/>
                <w:sz w:val="16"/>
              </w:rPr>
              <w:t>Answers based on this document must cite Data_Security_and_Escalation.docx.</w:t>
            </w:r>
          </w:p>
        </w:tc>
      </w:tr>
    </w:tbl>
    <w:p>
      <w:pPr>
        <w:spacing w:after="0"/>
      </w:pPr>
    </w:p>
    <w:tbl>
      <w:tblPr>
        <w:tblW w:type="auto" w:w="0"/>
        <w:jc w:val="center"/>
        <w:tblLayout w:type="fixed"/>
        <w:tblLook w:firstColumn="1" w:firstRow="1" w:lastColumn="0" w:lastRow="0" w:noHBand="0" w:noVBand="1" w:val="04A0"/>
      </w:tblPr>
      <w:tblGrid>
        <w:gridCol w:w="10368"/>
      </w:tblGrid>
      <w:tr>
        <w:tc>
          <w:tcPr>
            <w:tcW w:type="dxa" w:w="10368"/>
            <w:shd w:fill="FFF2CC"/>
            <w:tcMar>
              <w:top w:w="120" w:type="dxa"/>
              <w:start w:w="140" w:type="dxa"/>
              <w:bottom w:w="120" w:type="dxa"/>
              <w:end w:w="140" w:type="dxa"/>
            </w:tcMar>
          </w:tcPr>
          <w:p>
            <w:r>
              <w:rPr>
                <w:b/>
                <w:color w:val="17365D"/>
              </w:rPr>
              <w:t xml:space="preserve">Dataset note: </w:t>
            </w:r>
            <w:r>
              <w:t>This is a fictional training document. Students must answer only from the supplied files and must not treat it as real-world professional advice.</w:t>
            </w:r>
          </w:p>
        </w:tc>
      </w:tr>
    </w:tbl>
    <w:sectPr w:rsidR="00FC693F" w:rsidRPr="0006063C" w:rsidSect="00034616">
      <w:headerReference w:type="default" r:id="rId9"/>
      <w:footerReference w:type="default" r:id="rId10"/>
      <w:pgSz w:w="12240" w:h="15840"/>
      <w:pgMar w:top="648" w:right="936" w:bottom="648"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IT Service Desk and Security Support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rial" w:hAnsi="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40" w:after="80"/>
    </w:pPr>
    <w:rPr>
      <w:rFonts w:asciiTheme="majorHAnsi" w:eastAsiaTheme="majorEastAsia" w:hAnsiTheme="majorHAnsi" w:cstheme="majorBidi" w:ascii="Arial" w:hAnsi="Arial"/>
      <w:b w:val="0"/>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