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Branch Services and Escalation</w:t>
      </w:r>
    </w:p>
    <w:p>
      <w:pPr>
        <w:jc w:val="center"/>
      </w:pPr>
      <w:r>
        <w:rPr>
          <w:i/>
          <w:color w:val="646464"/>
          <w:sz w:val="18"/>
        </w:rPr>
        <w:t>Fictional practice dataset - source document</w:t>
      </w:r>
    </w:p>
    <w:p>
      <w:pPr>
        <w:pStyle w:val="Heading1"/>
      </w:pPr>
      <w:r>
        <w:t>Branch Service Standards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  <w:cantSplit/>
        </w:trPr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Documented procedure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Address Change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customer may request an address change using one approved address document issued within the previous 3 months. The change is normally completed within 2 business days after successful verification.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KYC Update</w:t>
            </w:r>
          </w:p>
        </w:tc>
        <w:tc>
          <w:tcPr>
            <w:tcW w:type="dxa" w:w="727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routine KYC refresh requires a valid identity document and current address evidence. A name, date-of-birth, or identity mismatch must be reviewed by a branch officer; the assistant cannot decide which record is correct.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Nominee Update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nominee may be added or changed after identity verification. Joint-account instructions must follow the signing rule recorded for the account.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Cash Deposit Difference</w:t>
            </w:r>
          </w:p>
        </w:tc>
        <w:tc>
          <w:tcPr>
            <w:tcW w:type="dxa" w:w="727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claimed cash-deposit difference requires the branch name, counter or machine reference, date, approximate time, amount tendered, and amount credited. The case must be investigated by the branch cash team.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Complaint Handling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service complaint is acknowledged within 1 business day. The normal target for a written outcome is 10 business days, although complex fraud and legal cases may take longer.</w:t>
            </w:r>
          </w:p>
        </w:tc>
      </w:tr>
    </w:tbl>
    <w:p>
      <w:pPr>
        <w:spacing w:after="0"/>
      </w:pPr>
    </w:p>
    <w:p>
      <w:pPr>
        <w:pStyle w:val="Heading1"/>
      </w:pPr>
      <w:r>
        <w:t>Escalation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  <w:cantSplit/>
        </w:trPr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Documented procedure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Banking Operations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Completed transfers, failed reversals outside the normal window, duplicate debits, and transaction-reconciliation concerns.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Fraud Review</w:t>
            </w:r>
          </w:p>
        </w:tc>
        <w:tc>
          <w:tcPr>
            <w:tcW w:type="dxa" w:w="727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Unauthorised payments, OTP disclosure, remote-access scams, phishing, card theft, or suspicious beneficiary activity.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Branch Officer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KYC mismatches, cash counter differences, document verification, nominee signing questions, or identity-record conflicts.</w:t>
            </w:r>
          </w:p>
        </w:tc>
      </w:tr>
    </w:tbl>
    <w:p>
      <w:pPr>
        <w:spacing w:after="0"/>
      </w:pPr>
    </w:p>
    <w:p>
      <w:pPr>
        <w:pStyle w:val="Heading1"/>
      </w:pPr>
      <w:r>
        <w:t>Assistant Restrictions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  <w:cantSplit/>
        </w:trPr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Documented procedure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Decision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assistant must not approve reimbursement, declare fraud, reactivate an account, change customer records, or promise a completion time beyond the documented target.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Required Citation</w:t>
            </w:r>
          </w:p>
        </w:tc>
        <w:tc>
          <w:tcPr>
            <w:tcW w:type="dxa" w:w="7272"/>
            <w:shd w:fill="F4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Answers based on this document must cite Branch_Services_and_Escalation.docx.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Dataset note: </w:t>
            </w:r>
            <w:r>
              <w:t>This is a fictional training document. Students must answer only from the supplied files and must not treat it as real-world professional advice.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936" w:bottom="648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Banking Account and Card Support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80"/>
    </w:pPr>
    <w:rPr>
      <w:rFonts w:asciiTheme="majorHAnsi" w:eastAsiaTheme="majorEastAsia" w:hAnsiTheme="majorHAnsi" w:cstheme="majorBidi" w:ascii="Arial" w:hAnsi="Arial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