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1B4F72"/>
          <w:sz w:val="72"/>
          <w:szCs w:val="72"/>
        </w:rPr>
        <w:t xml:space="preserve">CA Practice OS</w:t>
      </w:r>
    </w:p>
    <w:p>
      <w:pPr>
        <w:spacing w:after="200"/>
      </w:pPr>
    </w:p>
    <w:p>
      <w:pPr>
        <w:jc w:val="center"/>
      </w:pPr>
      <w:r>
        <w:rPr>
          <w:rFonts w:ascii="Arial" w:cs="Arial" w:eastAsia="Arial" w:hAnsi="Arial"/>
          <w:color w:val="2E86C1"/>
          <w:sz w:val="36"/>
          <w:szCs w:val="36"/>
        </w:rPr>
        <w:t xml:space="preserve">V1 Product Feature Specification</w:t>
      </w:r>
    </w:p>
    <w:p>
      <w:pPr>
        <w:spacing w:after="100"/>
      </w:pPr>
    </w:p>
    <w:p>
      <w:pPr>
        <w:pBdr>
          <w:bottom w:val="single" w:color="2E86C1" w:sz="6" w:space="1"/>
        </w:pBdr>
        <w:jc w:val="center"/>
      </w:pPr>
    </w:p>
    <w:p>
      <w:pPr>
        <w:spacing w:after="200"/>
      </w:pPr>
    </w:p>
    <w:p>
      <w:pPr>
        <w:jc w:val="center"/>
      </w:pPr>
      <w:r>
        <w:rPr>
          <w:rFonts w:ascii="Arial" w:cs="Arial" w:eastAsia="Arial" w:hAnsi="Arial"/>
          <w:i/>
          <w:iCs/>
          <w:color w:val="5D6D7E"/>
          <w:sz w:val="24"/>
          <w:szCs w:val="24"/>
        </w:rPr>
        <w:t xml:space="preserve">The operating system for every CA firm — from solo practice to 100-person office.</w:t>
      </w:r>
    </w:p>
    <w:p>
      <w:pPr>
        <w:spacing w:after="400"/>
      </w:pPr>
    </w:p>
    <w:p>
      <w:pPr>
        <w:jc w:val="center"/>
      </w:pPr>
      <w:r>
        <w:rPr>
          <w:rFonts w:ascii="Arial" w:cs="Arial" w:eastAsia="Arial" w:hAnsi="Arial"/>
          <w:color w:val="5D6D7E"/>
          <w:sz w:val="22"/>
          <w:szCs w:val="22"/>
        </w:rPr>
        <w:t xml:space="preserve">Task Tracking  ·  Compliance Calendar  ·  Client &amp; Docs  ·  Team Management</w:t>
      </w:r>
    </w:p>
    <w:p>
      <w:pPr>
        <w:spacing w:after="200"/>
      </w:pPr>
    </w:p>
    <w:p>
      <w:pPr>
        <w:jc w:val="center"/>
      </w:pPr>
      <w:r>
        <w:rPr>
          <w:rFonts w:ascii="Arial" w:cs="Arial" w:eastAsia="Arial" w:hAnsi="Arial"/>
          <w:color w:val="5D6D7E"/>
          <w:sz w:val="22"/>
          <w:szCs w:val="22"/>
        </w:rPr>
        <w:t xml:space="preserve">Status: </w:t>
      </w:r>
      <w:r>
        <w:rPr>
          <w:rFonts w:ascii="Arial" w:cs="Arial" w:eastAsia="Arial" w:hAnsi="Arial"/>
          <w:b/>
          <w:bCs/>
          <w:color w:val="1B4F72"/>
          <w:sz w:val="22"/>
          <w:szCs w:val="22"/>
        </w:rPr>
        <w:t xml:space="preserve">Draft</w:t>
      </w:r>
      <w:r>
        <w:rPr>
          <w:rFonts w:ascii="Arial" w:cs="Arial" w:eastAsia="Arial" w:hAnsi="Arial"/>
          <w:color w:val="5D6D7E"/>
          <w:sz w:val="22"/>
          <w:szCs w:val="22"/>
        </w:rPr>
        <w:t xml:space="preserve">  │  Version: 1.0  │  Audience: Product, Engineering, Design</w:t>
      </w:r>
    </w:p>
    <w:p>
      <w:pPr>
        <w:spacing w:after="200"/>
      </w:pPr>
    </w:p>
    <w:p>
      <w:pPr>
        <w:spacing w:after="120"/>
        <w:jc w:val="center"/>
      </w:pPr>
      <w:r>
        <w:rPr>
          <w:rFonts w:ascii="Arial" w:cs="Arial" w:eastAsia="Arial" w:hAnsi="Arial"/>
          <w:color w:val="5D6D7E"/>
          <w:sz w:val="20"/>
          <w:szCs w:val="20"/>
        </w:rPr>
        <w:t xml:space="preserve">Stack: Svelte (frontend) · NestJS (backend) · PostgreSQL · S3-compatible storage</w:t>
      </w:r>
    </w:p>
    <w:p>
      <w:pPr>
        <w:jc w:val="center"/>
      </w:pPr>
      <w:r>
        <w:rPr>
          <w:rFonts w:ascii="Arial" w:cs="Arial" w:eastAsia="Arial" w:hAnsi="Arial"/>
          <w:color w:val="5D6D7E"/>
          <w:sz w:val="20"/>
          <w:szCs w:val="20"/>
        </w:rPr>
        <w:t xml:space="preserve">Notification Channels: In-App + Email</w:t>
      </w:r>
    </w:p>
    <w:p>
      <w:pPr>
        <w:sectPr>
          <w:pgSz w:w="11906" w:h="16838" w:orient="portrait"/>
          <w:pgMar w:top="1440" w:right="1440" w:bottom="1440" w:left="1440" w:header="708" w:footer="708" w:gutter="0"/>
          <w:pgNumType/>
          <w:docGrid w:linePitch="360"/>
        </w:sectPr>
      </w:pPr>
    </w:p>
    <w:p>
      <w:pPr>
        <w:shd w:fill="EBF5FB" w:val="clear"/>
        <w:spacing w:before="200" w:after="200"/>
        <w:jc w:val="center"/>
      </w:pPr>
      <w:r>
        <w:rPr>
          <w:rFonts w:ascii="Arial" w:cs="Arial" w:eastAsia="Arial" w:hAnsi="Arial"/>
          <w:b/>
          <w:bCs/>
          <w:color w:val="1B4F72"/>
          <w:sz w:val="24"/>
          <w:szCs w:val="24"/>
        </w:rPr>
        <w:t xml:space="preserve">North Star: </w:t>
      </w:r>
      <w:r>
        <w:rPr>
          <w:rFonts w:ascii="Arial" w:cs="Arial" w:eastAsia="Arial" w:hAnsi="Arial"/>
          <w:i/>
          <w:iCs/>
          <w:color w:val="1B4F72"/>
          <w:sz w:val="24"/>
          <w:szCs w:val="24"/>
        </w:rPr>
        <w:t xml:space="preserve">Every person in the firm knows exactly what to work on. Every deadline is visible. No client falls through the cracks.</w:t>
      </w:r>
    </w:p>
    <w:p>
      <w:pPr>
        <w:spacing w:after="200"/>
      </w:pPr>
    </w:p>
    <w:p>
      <w:pPr>
        <w:pStyle w:val="Heading1"/>
      </w:pPr>
      <w:r>
        <w:t xml:space="preserve">01  Context &amp; Problem Statement</w:t>
      </w:r>
    </w:p>
    <w:p>
      <w:pPr>
        <w:pStyle w:val="Heading2"/>
      </w:pPr>
      <w:r>
        <w:t xml:space="preserve">Who This Is For</w:t>
      </w:r>
    </w:p>
    <w:p>
      <w:pPr>
        <w:spacing w:after="120"/>
      </w:pPr>
      <w:r>
        <w:rPr>
          <w:rFonts w:ascii="Arial" w:cs="Arial" w:eastAsia="Arial" w:hAnsi="Arial"/>
          <w:color w:val="2C3E50"/>
          <w:sz w:val="22"/>
          <w:szCs w:val="22"/>
        </w:rPr>
        <w:t xml:space="preserve">CA firms of all sizes — from a solo practitioner to an office of 50–100 people. The problems scale with headcount but the core dysfunction is the same across all of them.</w:t>
      </w:r>
    </w:p>
    <w:p>
      <w:pPr>
        <w:pStyle w:val="Heading2"/>
      </w:pPr>
      <w:r>
        <w:t xml:space="preserve">The Real Competitor</w:t>
      </w:r>
    </w:p>
    <w:p>
      <w:pPr>
        <w:spacing w:after="120"/>
      </w:pPr>
      <w:r>
        <w:rPr>
          <w:rFonts w:ascii="Arial" w:cs="Arial" w:eastAsia="Arial" w:hAnsi="Arial"/>
          <w:color w:val="2C3E50"/>
          <w:sz w:val="22"/>
          <w:szCs w:val="22"/>
        </w:rPr>
        <w:t xml:space="preserve">The real competitor is not Jamku or Practive. The real competitor is 8 Excel sheets, a group chat, and institutional knowledge in one person's head. That is the current state of operations in most CA firms today.</w:t>
      </w:r>
    </w:p>
    <w:p>
      <w:pPr>
        <w:pStyle w:val="Heading2"/>
      </w:pPr>
      <w:r>
        <w:t xml:space="preserve">The 8 Excel Sheets We Are Replacing</w:t>
      </w:r>
    </w:p>
    <w:p>
      <w:pPr>
        <w:spacing w:after="120"/>
      </w:pPr>
      <w:r>
        <w:rPr>
          <w:rFonts w:ascii="Arial" w:cs="Arial" w:eastAsia="Arial" w:hAnsi="Arial"/>
          <w:color w:val="2C3E50"/>
          <w:sz w:val="22"/>
          <w:szCs w:val="22"/>
        </w:rPr>
        <w:t xml:space="preserve">Every one of these sheets shares three failure modes: disconnected (they don't talk to each other), static (someone must manually update them), and personal (trapped on one person's machine).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Excel Sheet</w:t>
            </w:r>
          </w:p>
        </w:tc>
        <w:tc>
          <w:tcPr>
            <w:tcW w:type="dxa" w:w="34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Tracks</w:t>
            </w:r>
          </w:p>
        </w:tc>
        <w:tc>
          <w:tcPr>
            <w:tcW w:type="dxa" w:w="34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Fails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Client Master</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PAN, GST, TAN, contacts, fees, assigned team</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Static, disconnected from tasks and deadlines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Compliance Tracker</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Filings per client per month</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Manually updated, invisible to team, breaks when deadlines shift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Staff Allocation</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Who is assigned to which client/task</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Updated weekly at best, never reflects real workload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Password Sheet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Client portal credentials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Security risk, no audit trail, shared insecurely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Document Checklist</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Docs needed, requested, received per client</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One file per client, in someone's local folder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Fee &amp; Billing Tracker</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Invoices raised, amounts, payments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Disconnected from work done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Leave &amp; Attendance</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Daily attendance for staff and articles</w:t>
            </w:r>
          </w:p>
        </w:tc>
        <w:tc>
          <w:tcPr>
            <w:tcW w:type="dxa" w:w="34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 link to task planning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MIS Checklist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Monthly MIS deliverables per client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 reminders, no accountability chain</w:t>
            </w:r>
          </w:p>
        </w:tc>
      </w:tr>
    </w:tbl>
    <w:p>
      <w:pPr>
        <w:spacing w:after="200"/>
      </w:pPr>
    </w:p>
    <w:p>
      <w:pPr>
        <w:pStyle w:val="Heading1"/>
      </w:pPr>
      <w:r>
        <w:t xml:space="preserve">02  Module 1 — Task Tracking</w:t>
      </w:r>
    </w:p>
    <w:p>
      <w:pPr>
        <w:spacing w:after="120"/>
      </w:pPr>
      <w:r>
        <w:rPr>
          <w:rFonts w:ascii="Arial" w:cs="Arial" w:eastAsia="Arial" w:hAnsi="Arial"/>
          <w:color w:val="2C3E50"/>
          <w:sz w:val="22"/>
          <w:szCs w:val="22"/>
        </w:rPr>
        <w:t xml:space="preserve">The daily operating layer. Every person in the firm lives here. This replaces the Staff Allocation sheet and the ad-hoc task assignment flow.</w:t>
      </w:r>
    </w:p>
    <w:p>
      <w:pPr>
        <w:pStyle w:val="Heading2"/>
      </w:pPr>
      <w:r>
        <w:t xml:space="preserve">Status Pipeline</w:t>
      </w:r>
    </w:p>
    <w:p>
      <w:pPr>
        <w:spacing w:after="120"/>
      </w:pPr>
      <w:r>
        <w:rPr>
          <w:rFonts w:ascii="Arial" w:cs="Arial" w:eastAsia="Arial" w:hAnsi="Arial"/>
          <w:color w:val="2C3E50"/>
          <w:sz w:val="22"/>
          <w:szCs w:val="22"/>
        </w:rPr>
        <w:t xml:space="preserve">Every task moves through a fixed pipeline. The CA-specific statuses are what make this different from generic tools. 'Awaiting Client' and 'Partner Approval' are the two biggest black holes in CA operations — tasks disappear into these states and nobody tracks how long they've been there.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To Do</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Task created and waiting to be picked up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In Progress</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Actively being worked on by the assignee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Awaiting Client</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Blocked — waiting for client input, documents, or approval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Under Review</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Work completed by assignee, pending Manager review</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Partner Approval</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Reviewed by Manager, pending Partner sign-off or DSC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Done</w:t>
            </w:r>
          </w:p>
        </w:tc>
        <w:tc>
          <w:tcPr>
            <w:tcW w:type="dxa" w:w="68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Terminal — completed and closed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Cancelled</w:t>
            </w:r>
          </w:p>
        </w:tc>
        <w:tc>
          <w:tcPr>
            <w:tcW w:type="dxa" w:w="68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Terminal — no longer needed</w:t>
            </w:r>
          </w:p>
        </w:tc>
      </w:tr>
    </w:tbl>
    <w:p>
      <w:pPr>
        <w:spacing w:after="200"/>
      </w:pPr>
    </w:p>
    <w:p>
      <w:pPr>
        <w:pStyle w:val="Heading2"/>
      </w:pPr>
      <w:r>
        <w:t xml:space="preserve">Key Task Features</w:t>
      </w:r>
    </w:p>
    <w:p>
      <w:pPr>
        <w:pStyle w:val="ListParagraph"/>
        <w:numPr>
          <w:ilvl w:val="0"/>
          <w:numId w:val="2"/>
        </w:numPr>
        <w:spacing w:after="60"/>
      </w:pPr>
      <w:r>
        <w:rPr>
          <w:rFonts w:ascii="Arial" w:cs="Arial" w:eastAsia="Arial" w:hAnsi="Arial"/>
          <w:color w:val="2C3E50"/>
          <w:sz w:val="22"/>
          <w:szCs w:val="22"/>
        </w:rPr>
        <w:t xml:space="preserve">Board view (Kanban), List view, and My Tasks view — every person sees their own work first</w:t>
      </w:r>
    </w:p>
    <w:p>
      <w:pPr>
        <w:pStyle w:val="ListParagraph"/>
        <w:numPr>
          <w:ilvl w:val="0"/>
          <w:numId w:val="2"/>
        </w:numPr>
        <w:spacing w:after="60"/>
      </w:pPr>
      <w:r>
        <w:rPr>
          <w:rFonts w:ascii="Arial" w:cs="Arial" w:eastAsia="Arial" w:hAnsi="Arial"/>
          <w:color w:val="2C3E50"/>
          <w:sz w:val="22"/>
          <w:szCs w:val="22"/>
        </w:rPr>
        <w:t xml:space="preserve">Checklists within tasks — required items block task completion until checked off</w:t>
      </w:r>
    </w:p>
    <w:p>
      <w:pPr>
        <w:pStyle w:val="ListParagraph"/>
        <w:numPr>
          <w:ilvl w:val="0"/>
          <w:numId w:val="2"/>
        </w:numPr>
        <w:spacing w:after="60"/>
      </w:pPr>
      <w:r>
        <w:rPr>
          <w:rFonts w:ascii="Arial" w:cs="Arial" w:eastAsia="Arial" w:hAnsi="Arial"/>
          <w:color w:val="2C3E50"/>
          <w:sz w:val="22"/>
          <w:szCs w:val="22"/>
        </w:rPr>
        <w:t xml:space="preserve">Task dependencies — DAG-based blocking; when a predecessor completes, the dependent task's assignee is notified</w:t>
      </w:r>
    </w:p>
    <w:p>
      <w:pPr>
        <w:pStyle w:val="ListParagraph"/>
        <w:numPr>
          <w:ilvl w:val="0"/>
          <w:numId w:val="2"/>
        </w:numPr>
        <w:spacing w:after="60"/>
      </w:pPr>
      <w:r>
        <w:rPr>
          <w:rFonts w:ascii="Arial" w:cs="Arial" w:eastAsia="Arial" w:hAnsi="Arial"/>
          <w:color w:val="2C3E50"/>
          <w:sz w:val="22"/>
          <w:szCs w:val="22"/>
        </w:rPr>
        <w:t xml:space="preserve">Recurring tasks — configurable frequency (monthly/quarterly/half-yearly/annually) with auto-creation before due date</w:t>
      </w:r>
    </w:p>
    <w:p>
      <w:pPr>
        <w:pStyle w:val="ListParagraph"/>
        <w:numPr>
          <w:ilvl w:val="0"/>
          <w:numId w:val="2"/>
        </w:numPr>
        <w:spacing w:after="60"/>
      </w:pPr>
      <w:r>
        <w:rPr>
          <w:rFonts w:ascii="Arial" w:cs="Arial" w:eastAsia="Arial" w:hAnsi="Arial"/>
          <w:color w:val="2C3E50"/>
          <w:sz w:val="22"/>
          <w:szCs w:val="22"/>
        </w:rPr>
        <w:t xml:space="preserve">Sub-tasks — single level deep, for breaking complex work into trackable steps</w:t>
      </w:r>
    </w:p>
    <w:p>
      <w:pPr>
        <w:pStyle w:val="ListParagraph"/>
        <w:numPr>
          <w:ilvl w:val="0"/>
          <w:numId w:val="2"/>
        </w:numPr>
        <w:spacing w:after="60"/>
      </w:pPr>
      <w:r>
        <w:rPr>
          <w:rFonts w:ascii="Arial" w:cs="Arial" w:eastAsia="Arial" w:hAnsi="Arial"/>
          <w:color w:val="2C3E50"/>
          <w:sz w:val="22"/>
          <w:szCs w:val="22"/>
        </w:rPr>
        <w:t xml:space="preserve">Task templates — reusable multi-step chains attached to engagement types (e.g. GST Monthly has 7 steps)</w:t>
      </w:r>
    </w:p>
    <w:p>
      <w:pPr>
        <w:pStyle w:val="ListParagraph"/>
        <w:numPr>
          <w:ilvl w:val="0"/>
          <w:numId w:val="2"/>
        </w:numPr>
        <w:spacing w:after="60"/>
      </w:pPr>
      <w:r>
        <w:rPr>
          <w:rFonts w:ascii="Arial" w:cs="Arial" w:eastAsia="Arial" w:hAnsi="Arial"/>
          <w:color w:val="2C3E50"/>
          <w:sz w:val="22"/>
          <w:szCs w:val="22"/>
        </w:rPr>
        <w:t xml:space="preserve">Task comments with @mentions — threaded, one level deep, with notification to mentioned users</w:t>
      </w:r>
    </w:p>
    <w:p>
      <w:pPr>
        <w:pStyle w:val="ListParagraph"/>
        <w:numPr>
          <w:ilvl w:val="0"/>
          <w:numId w:val="2"/>
        </w:numPr>
        <w:spacing w:after="60"/>
      </w:pPr>
      <w:r>
        <w:rPr>
          <w:rFonts w:ascii="Arial" w:cs="Arial" w:eastAsia="Arial" w:hAnsi="Arial"/>
          <w:color w:val="2C3E50"/>
          <w:sz w:val="22"/>
          <w:szCs w:val="22"/>
        </w:rPr>
        <w:t xml:space="preserve">Priority levels: Low, Medium, High, Urgent</w:t>
      </w:r>
    </w:p>
    <w:p>
      <w:pPr>
        <w:pStyle w:val="ListParagraph"/>
        <w:numPr>
          <w:ilvl w:val="0"/>
          <w:numId w:val="2"/>
        </w:numPr>
        <w:spacing w:after="60"/>
      </w:pPr>
      <w:r>
        <w:rPr>
          <w:rFonts w:ascii="Arial" w:cs="Arial" w:eastAsia="Arial" w:hAnsi="Arial"/>
          <w:color w:val="2C3E50"/>
          <w:sz w:val="22"/>
          <w:szCs w:val="22"/>
        </w:rPr>
        <w:t xml:space="preserve">Immutable activity log — every status change, reassignment, checklist completion is recorded with timestamp and actor</w:t>
      </w:r>
    </w:p>
    <w:p>
      <w:pPr>
        <w:pStyle w:val="ListParagraph"/>
        <w:numPr>
          <w:ilvl w:val="0"/>
          <w:numId w:val="2"/>
        </w:numPr>
        <w:spacing w:after="60"/>
      </w:pPr>
      <w:r>
        <w:rPr>
          <w:rFonts w:ascii="Arial" w:cs="Arial" w:eastAsia="Arial" w:hAnsi="Arial"/>
          <w:color w:val="2C3E50"/>
          <w:sz w:val="22"/>
          <w:szCs w:val="22"/>
        </w:rPr>
        <w:t xml:space="preserve">Bulk actions — reassign, change status, change priority across multiple tasks</w:t>
      </w:r>
    </w:p>
    <w:p>
      <w:pPr>
        <w:pStyle w:val="Heading2"/>
      </w:pPr>
      <w:r>
        <w:t xml:space="preserve">Status Transition Rules</w:t>
      </w:r>
    </w:p>
    <w:p>
      <w:pPr>
        <w:spacing w:after="120"/>
      </w:pPr>
      <w:r>
        <w:rPr>
          <w:rFonts w:ascii="Arial" w:cs="Arial" w:eastAsia="Arial" w:hAnsi="Arial"/>
          <w:color w:val="2C3E50"/>
          <w:sz w:val="22"/>
          <w:szCs w:val="22"/>
        </w:rPr>
        <w:t xml:space="preserve">Tasks follow strict transition rules to prevent invalid state changes. Terminal states (Done, Cancelled) allow no further transitions. Moving to Done requires all required checklist items to be completed.</w:t>
      </w:r>
    </w:p>
    <w:p>
      <w:pPr>
        <w:spacing w:after="200"/>
      </w:pPr>
    </w:p>
    <w:p>
      <w:pPr>
        <w:pStyle w:val="Heading1"/>
      </w:pPr>
      <w:r>
        <w:t xml:space="preserve">03  Module 2 — Compliance Calendar</w:t>
      </w:r>
    </w:p>
    <w:p>
      <w:pPr>
        <w:spacing w:after="120"/>
      </w:pPr>
      <w:r>
        <w:rPr>
          <w:rFonts w:ascii="Arial" w:cs="Arial" w:eastAsia="Arial" w:hAnsi="Arial"/>
          <w:color w:val="2C3E50"/>
          <w:sz w:val="22"/>
          <w:szCs w:val="22"/>
        </w:rPr>
        <w:t xml:space="preserve">Replaces the Compliance Tracker Excel sheet. Pre-loaded with Indian statutory deadlines for GST, Income Tax, TDS, and ROC filings. This is designed to be the entry hook — the free tool that gets firms onto the platform.</w:t>
      </w:r>
    </w:p>
    <w:p>
      <w:pPr>
        <w:pStyle w:val="Heading2"/>
      </w:pPr>
      <w:r>
        <w:t xml:space="preserve">Key Features</w:t>
      </w:r>
    </w:p>
    <w:p>
      <w:pPr>
        <w:pStyle w:val="ListParagraph"/>
        <w:numPr>
          <w:ilvl w:val="0"/>
          <w:numId w:val="2"/>
        </w:numPr>
        <w:spacing w:after="60"/>
      </w:pPr>
      <w:r>
        <w:rPr>
          <w:rFonts w:ascii="Arial" w:cs="Arial" w:eastAsia="Arial" w:hAnsi="Arial"/>
          <w:color w:val="2C3E50"/>
          <w:sz w:val="22"/>
          <w:szCs w:val="22"/>
        </w:rPr>
        <w:t xml:space="preserve">Pre-loaded statutory deadlines: GSTR-1 (11th monthly), GSTR-3B (20th monthly), GSTR-9 (31st Dec), ITR (31st Jul / 31st Oct), Advance Tax quarterly, TDS quarterly, ROC annual</w:t>
      </w:r>
    </w:p>
    <w:p>
      <w:pPr>
        <w:pStyle w:val="ListParagraph"/>
        <w:numPr>
          <w:ilvl w:val="0"/>
          <w:numId w:val="2"/>
        </w:numPr>
        <w:spacing w:after="60"/>
      </w:pPr>
      <w:r>
        <w:rPr>
          <w:rFonts w:ascii="Arial" w:cs="Arial" w:eastAsia="Arial" w:hAnsi="Arial"/>
          <w:color w:val="2C3E50"/>
          <w:sz w:val="22"/>
          <w:szCs w:val="22"/>
        </w:rPr>
        <w:t xml:space="preserve">Per-client compliance assignment — firms choose which deadlines apply to each client</w:t>
      </w:r>
    </w:p>
    <w:p>
      <w:pPr>
        <w:pStyle w:val="ListParagraph"/>
        <w:numPr>
          <w:ilvl w:val="0"/>
          <w:numId w:val="2"/>
        </w:numPr>
        <w:spacing w:after="60"/>
      </w:pPr>
      <w:r>
        <w:rPr>
          <w:rFonts w:ascii="Arial" w:cs="Arial" w:eastAsia="Arial" w:hAnsi="Arial"/>
          <w:color w:val="2C3E50"/>
          <w:sz w:val="22"/>
          <w:szCs w:val="22"/>
        </w:rPr>
        <w:t xml:space="preserve">Auto-task generation: when a deadline approaches, the system auto-creates a task chain from the engagement template</w:t>
      </w:r>
    </w:p>
    <w:p>
      <w:pPr>
        <w:pStyle w:val="ListParagraph"/>
        <w:numPr>
          <w:ilvl w:val="0"/>
          <w:numId w:val="2"/>
        </w:numPr>
        <w:spacing w:after="60"/>
      </w:pPr>
      <w:r>
        <w:rPr>
          <w:rFonts w:ascii="Arial" w:cs="Arial" w:eastAsia="Arial" w:hAnsi="Arial"/>
          <w:color w:val="2C3E50"/>
          <w:sz w:val="22"/>
          <w:szCs w:val="22"/>
        </w:rPr>
        <w:t xml:space="preserve">Internal vs statutory deadlines — configurable buffer (default 3 days) so the team's deadline is earlier than the government's</w:t>
      </w:r>
    </w:p>
    <w:p>
      <w:pPr>
        <w:pStyle w:val="ListParagraph"/>
        <w:numPr>
          <w:ilvl w:val="0"/>
          <w:numId w:val="2"/>
        </w:numPr>
        <w:spacing w:after="60"/>
      </w:pPr>
      <w:r>
        <w:rPr>
          <w:rFonts w:ascii="Arial" w:cs="Arial" w:eastAsia="Arial" w:hAnsi="Arial"/>
          <w:color w:val="2C3E50"/>
          <w:sz w:val="22"/>
          <w:szCs w:val="22"/>
        </w:rPr>
        <w:t xml:space="preserve">Penalty previews — surface the financial penalty for missing a deadline (e.g. ₹50/day for late GSTR-3B)</w:t>
      </w:r>
    </w:p>
    <w:p>
      <w:pPr>
        <w:pStyle w:val="ListParagraph"/>
        <w:numPr>
          <w:ilvl w:val="0"/>
          <w:numId w:val="2"/>
        </w:numPr>
        <w:spacing w:after="60"/>
      </w:pPr>
      <w:r>
        <w:rPr>
          <w:rFonts w:ascii="Arial" w:cs="Arial" w:eastAsia="Arial" w:hAnsi="Arial"/>
          <w:color w:val="2C3E50"/>
          <w:sz w:val="22"/>
          <w:szCs w:val="22"/>
        </w:rPr>
        <w:t xml:space="preserve">Materialised calendar view per firm per period — rebuilt on cron or on demand</w:t>
      </w:r>
    </w:p>
    <w:p>
      <w:pPr>
        <w:pStyle w:val="ListParagraph"/>
        <w:numPr>
          <w:ilvl w:val="0"/>
          <w:numId w:val="2"/>
        </w:numPr>
        <w:spacing w:after="60"/>
      </w:pPr>
      <w:r>
        <w:rPr>
          <w:rFonts w:ascii="Arial" w:cs="Arial" w:eastAsia="Arial" w:hAnsi="Arial"/>
          <w:color w:val="2C3E50"/>
          <w:sz w:val="22"/>
          <w:szCs w:val="22"/>
        </w:rPr>
        <w:t xml:space="preserve">Override capability: firm-specific due date adjustments for extended deadlines</w:t>
      </w:r>
    </w:p>
    <w:p>
      <w:pPr>
        <w:spacing w:after="200"/>
      </w:pPr>
    </w:p>
    <w:p>
      <w:pPr>
        <w:pStyle w:val="Heading1"/>
      </w:pPr>
      <w:r>
        <w:t xml:space="preserve">04  Module 3 — Client &amp; Document Management</w:t>
      </w:r>
    </w:p>
    <w:p>
      <w:pPr>
        <w:pStyle w:val="Heading2"/>
      </w:pPr>
      <w:r>
        <w:t xml:space="preserve">F3.1  Client Master</w:t>
      </w:r>
    </w:p>
    <w:p>
      <w:pPr>
        <w:spacing w:after="120"/>
      </w:pPr>
      <w:r>
        <w:rPr>
          <w:rFonts w:ascii="Arial" w:cs="Arial" w:eastAsia="Arial" w:hAnsi="Arial"/>
          <w:color w:val="2C3E50"/>
          <w:sz w:val="22"/>
          <w:szCs w:val="22"/>
        </w:rPr>
        <w:t xml:space="preserve">A single, structured record per client. Every task, document, engagement, and credential links back to the client record. No orphaned data.</w:t>
      </w:r>
    </w:p>
    <w:p>
      <w:pPr>
        <w:pStyle w:val="ListParagraph"/>
        <w:numPr>
          <w:ilvl w:val="0"/>
          <w:numId w:val="2"/>
        </w:numPr>
        <w:spacing w:after="60"/>
      </w:pPr>
      <w:r>
        <w:rPr>
          <w:rFonts w:ascii="Arial" w:cs="Arial" w:eastAsia="Arial" w:hAnsi="Arial"/>
          <w:color w:val="2C3E50"/>
          <w:sz w:val="22"/>
          <w:szCs w:val="22"/>
        </w:rPr>
        <w:t xml:space="preserve">Client types: Individual, HUF, Partnership Firm, LLP, Private Company, Public Company, Trust, Society, AOP/BOI, Government, Overseas Entity</w:t>
      </w:r>
    </w:p>
    <w:p>
      <w:pPr>
        <w:pStyle w:val="ListParagraph"/>
        <w:numPr>
          <w:ilvl w:val="0"/>
          <w:numId w:val="2"/>
        </w:numPr>
        <w:spacing w:after="60"/>
      </w:pPr>
      <w:r>
        <w:rPr>
          <w:rFonts w:ascii="Arial" w:cs="Arial" w:eastAsia="Arial" w:hAnsi="Arial"/>
          <w:color w:val="2C3E50"/>
          <w:sz w:val="22"/>
          <w:szCs w:val="22"/>
        </w:rPr>
        <w:t xml:space="preserve">Multiple GST registrations per client (multi-state)</w:t>
      </w:r>
    </w:p>
    <w:p>
      <w:pPr>
        <w:pStyle w:val="ListParagraph"/>
        <w:numPr>
          <w:ilvl w:val="0"/>
          <w:numId w:val="2"/>
        </w:numPr>
        <w:spacing w:after="60"/>
      </w:pPr>
      <w:r>
        <w:rPr>
          <w:rFonts w:ascii="Arial" w:cs="Arial" w:eastAsia="Arial" w:hAnsi="Arial"/>
          <w:color w:val="2C3E50"/>
          <w:sz w:val="22"/>
          <w:szCs w:val="22"/>
        </w:rPr>
        <w:t xml:space="preserve">PAN, TAN, CIN validation with regex enforcement</w:t>
      </w:r>
    </w:p>
    <w:p>
      <w:pPr>
        <w:pStyle w:val="ListParagraph"/>
        <w:numPr>
          <w:ilvl w:val="0"/>
          <w:numId w:val="2"/>
        </w:numPr>
        <w:spacing w:after="60"/>
      </w:pPr>
      <w:r>
        <w:rPr>
          <w:rFonts w:ascii="Arial" w:cs="Arial" w:eastAsia="Arial" w:hAnsi="Arial"/>
          <w:color w:val="2C3E50"/>
          <w:sz w:val="22"/>
          <w:szCs w:val="22"/>
        </w:rPr>
        <w:t xml:space="preserve">Assigned team: Partner, Manager, Junior CA, Article — per client</w:t>
      </w:r>
    </w:p>
    <w:p>
      <w:pPr>
        <w:pStyle w:val="ListParagraph"/>
        <w:numPr>
          <w:ilvl w:val="0"/>
          <w:numId w:val="2"/>
        </w:numPr>
        <w:spacing w:after="60"/>
      </w:pPr>
      <w:r>
        <w:rPr>
          <w:rFonts w:ascii="Arial" w:cs="Arial" w:eastAsia="Arial" w:hAnsi="Arial"/>
          <w:color w:val="2C3E50"/>
          <w:sz w:val="22"/>
          <w:szCs w:val="22"/>
        </w:rPr>
        <w:t xml:space="preserve">Custom fields: firms can define up to 20 additional fields per client (text, number, date, dropdown, boolean, URL)</w:t>
      </w:r>
    </w:p>
    <w:p>
      <w:pPr>
        <w:pStyle w:val="ListParagraph"/>
        <w:numPr>
          <w:ilvl w:val="0"/>
          <w:numId w:val="2"/>
        </w:numPr>
        <w:spacing w:after="60"/>
      </w:pPr>
      <w:r>
        <w:rPr>
          <w:rFonts w:ascii="Arial" w:cs="Arial" w:eastAsia="Arial" w:hAnsi="Arial"/>
          <w:color w:val="2C3E50"/>
          <w:sz w:val="22"/>
          <w:szCs w:val="22"/>
        </w:rPr>
        <w:t xml:space="preserve">Client status: Active, Inactive, Prospect</w:t>
      </w:r>
    </w:p>
    <w:p>
      <w:pPr>
        <w:pStyle w:val="Heading2"/>
      </w:pPr>
      <w:r>
        <w:t xml:space="preserve">F3.2  Engagement Management</w:t>
      </w:r>
    </w:p>
    <w:p>
      <w:pPr>
        <w:spacing w:after="120"/>
      </w:pPr>
      <w:r>
        <w:rPr>
          <w:rFonts w:ascii="Arial" w:cs="Arial" w:eastAsia="Arial" w:hAnsi="Arial"/>
          <w:color w:val="2C3E50"/>
          <w:sz w:val="22"/>
          <w:szCs w:val="22"/>
        </w:rPr>
        <w:t xml:space="preserve">An engagement is a scoped piece of work for a client — the link between a client and their tasks. Without engagements, tasks are orphaned and you cannot tell if a task belongs to an audit or a tax filing.</w:t>
      </w:r>
    </w:p>
    <w:p>
      <w:pPr>
        <w:pStyle w:val="ListParagraph"/>
        <w:numPr>
          <w:ilvl w:val="0"/>
          <w:numId w:val="2"/>
        </w:numPr>
        <w:spacing w:after="60"/>
      </w:pPr>
      <w:r>
        <w:rPr>
          <w:rFonts w:ascii="Arial" w:cs="Arial" w:eastAsia="Arial" w:hAnsi="Arial"/>
          <w:color w:val="2C3E50"/>
          <w:sz w:val="22"/>
          <w:szCs w:val="22"/>
        </w:rPr>
        <w:t xml:space="preserve">Engagement types: GST Monthly, GST Annual, TDS Quarterly, ITR Individual, ITR Company, Statutory Audit, Tax Audit, ROC Annual, Advance Tax, MIS Monthly, Payroll Monthly (plus custom types per firm)</w:t>
      </w:r>
    </w:p>
    <w:p>
      <w:pPr>
        <w:pStyle w:val="ListParagraph"/>
        <w:numPr>
          <w:ilvl w:val="0"/>
          <w:numId w:val="2"/>
        </w:numPr>
        <w:spacing w:after="60"/>
      </w:pPr>
      <w:r>
        <w:rPr>
          <w:rFonts w:ascii="Arial" w:cs="Arial" w:eastAsia="Arial" w:hAnsi="Arial"/>
          <w:color w:val="2C3E50"/>
          <w:sz w:val="22"/>
          <w:szCs w:val="22"/>
        </w:rPr>
        <w:t xml:space="preserve">Engagement status: Active, On Hold, Completed, Cancelled</w:t>
      </w:r>
    </w:p>
    <w:p>
      <w:pPr>
        <w:pStyle w:val="ListParagraph"/>
        <w:numPr>
          <w:ilvl w:val="0"/>
          <w:numId w:val="2"/>
        </w:numPr>
        <w:spacing w:after="60"/>
      </w:pPr>
      <w:r>
        <w:rPr>
          <w:rFonts w:ascii="Arial" w:cs="Arial" w:eastAsia="Arial" w:hAnsi="Arial"/>
          <w:color w:val="2C3E50"/>
          <w:sz w:val="22"/>
          <w:szCs w:val="22"/>
        </w:rPr>
        <w:t xml:space="preserve">Financial year tracking per engagement</w:t>
      </w:r>
    </w:p>
    <w:p>
      <w:pPr>
        <w:pStyle w:val="ListParagraph"/>
        <w:numPr>
          <w:ilvl w:val="0"/>
          <w:numId w:val="2"/>
        </w:numPr>
        <w:spacing w:after="60"/>
      </w:pPr>
      <w:r>
        <w:rPr>
          <w:rFonts w:ascii="Arial" w:cs="Arial" w:eastAsia="Arial" w:hAnsi="Arial"/>
          <w:color w:val="2C3E50"/>
          <w:sz w:val="22"/>
          <w:szCs w:val="22"/>
        </w:rPr>
        <w:t xml:space="preserve">Custom fields per engagement type (defined at firm level)</w:t>
      </w:r>
    </w:p>
    <w:p>
      <w:pPr>
        <w:pStyle w:val="Heading2"/>
      </w:pPr>
      <w:r>
        <w:t xml:space="preserve">F3.3  Document Vault</w:t>
      </w:r>
    </w:p>
    <w:p>
      <w:pPr>
        <w:pStyle w:val="ListParagraph"/>
        <w:numPr>
          <w:ilvl w:val="0"/>
          <w:numId w:val="2"/>
        </w:numPr>
        <w:spacing w:after="60"/>
      </w:pPr>
      <w:r>
        <w:rPr>
          <w:rFonts w:ascii="Arial" w:cs="Arial" w:eastAsia="Arial" w:hAnsi="Arial"/>
          <w:color w:val="2C3E50"/>
          <w:sz w:val="22"/>
          <w:szCs w:val="22"/>
        </w:rPr>
        <w:t xml:space="preserve">File storage per client, per engagement, per task</w:t>
      </w:r>
    </w:p>
    <w:p>
      <w:pPr>
        <w:pStyle w:val="ListParagraph"/>
        <w:numPr>
          <w:ilvl w:val="0"/>
          <w:numId w:val="2"/>
        </w:numPr>
        <w:spacing w:after="60"/>
      </w:pPr>
      <w:r>
        <w:rPr>
          <w:rFonts w:ascii="Arial" w:cs="Arial" w:eastAsia="Arial" w:hAnsi="Arial"/>
          <w:color w:val="2C3E50"/>
          <w:sz w:val="22"/>
          <w:szCs w:val="22"/>
        </w:rPr>
        <w:t xml:space="preserve">Version control: uploading a new file does not delete the previous version</w:t>
      </w:r>
    </w:p>
    <w:p>
      <w:pPr>
        <w:pStyle w:val="ListParagraph"/>
        <w:numPr>
          <w:ilvl w:val="0"/>
          <w:numId w:val="2"/>
        </w:numPr>
        <w:spacing w:after="60"/>
      </w:pPr>
      <w:r>
        <w:rPr>
          <w:rFonts w:ascii="Arial" w:cs="Arial" w:eastAsia="Arial" w:hAnsi="Arial"/>
          <w:color w:val="2C3E50"/>
          <w:sz w:val="22"/>
          <w:szCs w:val="22"/>
        </w:rPr>
        <w:t xml:space="preserve">In-browser preview for PDFs and images</w:t>
      </w:r>
    </w:p>
    <w:p>
      <w:pPr>
        <w:pStyle w:val="ListParagraph"/>
        <w:numPr>
          <w:ilvl w:val="0"/>
          <w:numId w:val="2"/>
        </w:numPr>
        <w:spacing w:after="60"/>
      </w:pPr>
      <w:r>
        <w:rPr>
          <w:rFonts w:ascii="Arial" w:cs="Arial" w:eastAsia="Arial" w:hAnsi="Arial"/>
          <w:color w:val="2C3E50"/>
          <w:sz w:val="22"/>
          <w:szCs w:val="22"/>
        </w:rPr>
        <w:t xml:space="preserve">17 document types: General, Client Provided, Working Paper, Filed Return, Acknowledgement, and more</w:t>
      </w:r>
    </w:p>
    <w:p>
      <w:pPr>
        <w:pStyle w:val="ListParagraph"/>
        <w:numPr>
          <w:ilvl w:val="0"/>
          <w:numId w:val="2"/>
        </w:numPr>
        <w:spacing w:after="60"/>
      </w:pPr>
      <w:r>
        <w:rPr>
          <w:rFonts w:ascii="Arial" w:cs="Arial" w:eastAsia="Arial" w:hAnsi="Arial"/>
          <w:color w:val="2C3E50"/>
          <w:sz w:val="22"/>
          <w:szCs w:val="22"/>
        </w:rPr>
        <w:t xml:space="preserve">Max 50MB per file; SHA-256 checksum for duplicate detection</w:t>
      </w:r>
    </w:p>
    <w:p>
      <w:pPr>
        <w:pStyle w:val="ListParagraph"/>
        <w:numPr>
          <w:ilvl w:val="0"/>
          <w:numId w:val="2"/>
        </w:numPr>
        <w:spacing w:after="60"/>
      </w:pPr>
      <w:r>
        <w:rPr>
          <w:rFonts w:ascii="Arial" w:cs="Arial" w:eastAsia="Arial" w:hAnsi="Arial"/>
          <w:color w:val="2C3E50"/>
          <w:sz w:val="22"/>
          <w:szCs w:val="22"/>
        </w:rPr>
        <w:t xml:space="preserve">Document checklist templates per engagement type — what documents are expected for this kind of work</w:t>
      </w:r>
    </w:p>
    <w:p>
      <w:pPr>
        <w:pStyle w:val="ListParagraph"/>
        <w:numPr>
          <w:ilvl w:val="0"/>
          <w:numId w:val="2"/>
        </w:numPr>
        <w:spacing w:after="60"/>
      </w:pPr>
      <w:r>
        <w:rPr>
          <w:rFonts w:ascii="Arial" w:cs="Arial" w:eastAsia="Arial" w:hAnsi="Arial"/>
          <w:color w:val="2C3E50"/>
          <w:sz w:val="22"/>
          <w:szCs w:val="22"/>
        </w:rPr>
        <w:t xml:space="preserve">Checklist item statuses: Pending, Requested, Received, Verified, Waived</w:t>
      </w:r>
    </w:p>
    <w:p>
      <w:pPr>
        <w:pStyle w:val="Heading2"/>
      </w:pPr>
      <w:r>
        <w:t xml:space="preserve">F3.4  Document Requests</w:t>
      </w:r>
    </w:p>
    <w:p>
      <w:pPr>
        <w:spacing w:after="120"/>
      </w:pPr>
      <w:r>
        <w:rPr>
          <w:rFonts w:ascii="Arial" w:cs="Arial" w:eastAsia="Arial" w:hAnsi="Arial"/>
          <w:color w:val="2C3E50"/>
          <w:sz w:val="22"/>
          <w:szCs w:val="22"/>
        </w:rPr>
        <w:t xml:space="preserve">Raise a document request from within a task. The client receives an email with a one-click upload link (token-based, expires in 30 days). Once uploaded, the task assignee is notified. Auto-reminders at days 3, 7, and 14 — max 3 reminders before manual follow-up is flagged.</w:t>
      </w:r>
    </w:p>
    <w:p>
      <w:pPr>
        <w:pStyle w:val="Heading2"/>
      </w:pPr>
      <w:r>
        <w:t xml:space="preserve">F3.5  Credential Locker</w:t>
      </w:r>
    </w:p>
    <w:p>
      <w:pPr>
        <w:pStyle w:val="ListParagraph"/>
        <w:numPr>
          <w:ilvl w:val="0"/>
          <w:numId w:val="2"/>
        </w:numPr>
        <w:spacing w:after="60"/>
      </w:pPr>
      <w:r>
        <w:rPr>
          <w:rFonts w:ascii="Arial" w:cs="Arial" w:eastAsia="Arial" w:hAnsi="Arial"/>
          <w:color w:val="2C3E50"/>
          <w:sz w:val="22"/>
          <w:szCs w:val="22"/>
        </w:rPr>
        <w:t xml:space="preserve">Store portal credentials per client: GST, Income Tax, MCA, Traces, TDS CPC, EPFO, ESIC, DGFT, Customs, RBI, SEBI, and custom portals</w:t>
      </w:r>
    </w:p>
    <w:p>
      <w:pPr>
        <w:pStyle w:val="ListParagraph"/>
        <w:numPr>
          <w:ilvl w:val="0"/>
          <w:numId w:val="2"/>
        </w:numPr>
        <w:spacing w:after="60"/>
      </w:pPr>
      <w:r>
        <w:rPr>
          <w:rFonts w:ascii="Arial" w:cs="Arial" w:eastAsia="Arial" w:hAnsi="Arial"/>
          <w:color w:val="2C3E50"/>
          <w:sz w:val="22"/>
          <w:szCs w:val="22"/>
        </w:rPr>
        <w:t xml:space="preserve">AES-256-GCM encryption at rest, key managed via KMS</w:t>
      </w:r>
    </w:p>
    <w:p>
      <w:pPr>
        <w:pStyle w:val="ListParagraph"/>
        <w:numPr>
          <w:ilvl w:val="0"/>
          <w:numId w:val="2"/>
        </w:numPr>
        <w:spacing w:after="60"/>
      </w:pPr>
      <w:r>
        <w:rPr>
          <w:rFonts w:ascii="Arial" w:cs="Arial" w:eastAsia="Arial" w:hAnsi="Arial"/>
          <w:color w:val="2C3E50"/>
          <w:sz w:val="22"/>
          <w:szCs w:val="22"/>
        </w:rPr>
        <w:t xml:space="preserve">Access-controlled by role: Articles cannot view credentials at all; Junior CAs can view only for assigned clients</w:t>
      </w:r>
    </w:p>
    <w:p>
      <w:pPr>
        <w:pStyle w:val="ListParagraph"/>
        <w:numPr>
          <w:ilvl w:val="0"/>
          <w:numId w:val="2"/>
        </w:numPr>
        <w:spacing w:after="60"/>
      </w:pPr>
      <w:r>
        <w:rPr>
          <w:rFonts w:ascii="Arial" w:cs="Arial" w:eastAsia="Arial" w:hAnsi="Arial"/>
          <w:color w:val="2C3E50"/>
          <w:sz w:val="22"/>
          <w:szCs w:val="22"/>
        </w:rPr>
        <w:t xml:space="preserve">Every view/copy action logged to an immutable credential_access_log with IP address and timestamp</w:t>
      </w:r>
    </w:p>
    <w:p>
      <w:pPr>
        <w:pStyle w:val="Heading2"/>
      </w:pPr>
      <w:r>
        <w:t xml:space="preserve">F3.6  DSC Tracker</w:t>
      </w:r>
    </w:p>
    <w:p>
      <w:pPr>
        <w:pStyle w:val="ListParagraph"/>
        <w:numPr>
          <w:ilvl w:val="0"/>
          <w:numId w:val="2"/>
        </w:numPr>
        <w:spacing w:after="60"/>
      </w:pPr>
      <w:r>
        <w:rPr>
          <w:rFonts w:ascii="Arial" w:cs="Arial" w:eastAsia="Arial" w:hAnsi="Arial"/>
          <w:color w:val="2C3E50"/>
          <w:sz w:val="22"/>
          <w:szCs w:val="22"/>
        </w:rPr>
        <w:t xml:space="preserve">Log DSCs for clients and partners with expiry dates</w:t>
      </w:r>
    </w:p>
    <w:p>
      <w:pPr>
        <w:pStyle w:val="ListParagraph"/>
        <w:numPr>
          <w:ilvl w:val="0"/>
          <w:numId w:val="2"/>
        </w:numPr>
        <w:spacing w:after="60"/>
      </w:pPr>
      <w:r>
        <w:rPr>
          <w:rFonts w:ascii="Arial" w:cs="Arial" w:eastAsia="Arial" w:hAnsi="Arial"/>
          <w:color w:val="2C3E50"/>
          <w:sz w:val="22"/>
          <w:szCs w:val="22"/>
        </w:rPr>
        <w:t xml:space="preserve">Class 2 / Class 3 / DGFT types supported</w:t>
      </w:r>
    </w:p>
    <w:p>
      <w:pPr>
        <w:pStyle w:val="ListParagraph"/>
        <w:numPr>
          <w:ilvl w:val="0"/>
          <w:numId w:val="2"/>
        </w:numPr>
        <w:spacing w:after="60"/>
      </w:pPr>
      <w:r>
        <w:rPr>
          <w:rFonts w:ascii="Arial" w:cs="Arial" w:eastAsia="Arial" w:hAnsi="Arial"/>
          <w:color w:val="2C3E50"/>
          <w:sz w:val="22"/>
          <w:szCs w:val="22"/>
        </w:rPr>
        <w:t xml:space="preserve">Holder types: Client or Partner</w:t>
      </w:r>
    </w:p>
    <w:p>
      <w:pPr>
        <w:pStyle w:val="ListParagraph"/>
        <w:numPr>
          <w:ilvl w:val="0"/>
          <w:numId w:val="2"/>
        </w:numPr>
        <w:spacing w:after="60"/>
      </w:pPr>
      <w:r>
        <w:rPr>
          <w:rFonts w:ascii="Arial" w:cs="Arial" w:eastAsia="Arial" w:hAnsi="Arial"/>
          <w:color w:val="2C3E50"/>
          <w:sz w:val="22"/>
          <w:szCs w:val="22"/>
        </w:rPr>
        <w:t xml:space="preserve">Alerts at 30, 15, and 7 days before expiry (daily cron check at 08:00 IST)</w:t>
      </w:r>
    </w:p>
    <w:p>
      <w:pPr>
        <w:pStyle w:val="ListParagraph"/>
        <w:numPr>
          <w:ilvl w:val="0"/>
          <w:numId w:val="2"/>
        </w:numPr>
        <w:spacing w:after="60"/>
      </w:pPr>
      <w:r>
        <w:rPr>
          <w:rFonts w:ascii="Arial" w:cs="Arial" w:eastAsia="Arial" w:hAnsi="Arial"/>
          <w:color w:val="2C3E50"/>
          <w:sz w:val="22"/>
          <w:szCs w:val="22"/>
        </w:rPr>
        <w:t xml:space="preserve">Auto-status change to EXPIRED when valid_until &lt; today</w:t>
      </w:r>
    </w:p>
    <w:p>
      <w:pPr>
        <w:spacing w:after="200"/>
      </w:pPr>
    </w:p>
    <w:p>
      <w:pPr>
        <w:pStyle w:val="Heading1"/>
      </w:pPr>
      <w:r>
        <w:t xml:space="preserve">05  Module 4 — Team &amp; Workload Management</w:t>
      </w:r>
    </w:p>
    <w:p>
      <w:pPr>
        <w:spacing w:after="120"/>
      </w:pPr>
      <w:r>
        <w:rPr>
          <w:rFonts w:ascii="Arial" w:cs="Arial" w:eastAsia="Arial" w:hAnsi="Arial"/>
          <w:color w:val="2C3E50"/>
          <w:sz w:val="22"/>
          <w:szCs w:val="22"/>
        </w:rPr>
        <w:t xml:space="preserve">Replaces the Staff Allocation and Leave &amp; Attendance Excel sheets. Built for Partners and Managers who need visibility without being in every conversation.</w:t>
      </w:r>
    </w:p>
    <w:p>
      <w:pPr>
        <w:pStyle w:val="Heading2"/>
      </w:pPr>
      <w:r>
        <w:t xml:space="preserve">F4.1  Team Workload View</w:t>
      </w:r>
    </w:p>
    <w:p>
      <w:pPr>
        <w:spacing w:after="120"/>
      </w:pPr>
      <w:r>
        <w:rPr>
          <w:rFonts w:ascii="Arial" w:cs="Arial" w:eastAsia="Arial" w:hAnsi="Arial"/>
          <w:color w:val="2C3E50"/>
          <w:sz w:val="22"/>
          <w:szCs w:val="22"/>
        </w:rPr>
        <w:t xml:space="preserve">Grid showing every team member vs. their active tasks and due dates. Colour-coded load indicator computed against the firm average: Underutilised (&lt;0.5x), Balanced (0.5x–1.5x), Overloaded (&gt;1.5x). Drill down into any person's full task list. Computed on request in V1 (no caching; add cache layer in V1.5 if p95 &gt; 500ms).</w:t>
      </w:r>
    </w:p>
    <w:p>
      <w:pPr>
        <w:pStyle w:val="Heading2"/>
      </w:pPr>
      <w:r>
        <w:t xml:space="preserve">F4.2  Availability &amp; Leave Tracking</w:t>
      </w:r>
    </w:p>
    <w:p>
      <w:pPr>
        <w:pStyle w:val="ListParagraph"/>
        <w:numPr>
          <w:ilvl w:val="0"/>
          <w:numId w:val="2"/>
        </w:numPr>
        <w:spacing w:after="60"/>
      </w:pPr>
      <w:r>
        <w:rPr>
          <w:rFonts w:ascii="Arial" w:cs="Arial" w:eastAsia="Arial" w:hAnsi="Arial"/>
          <w:color w:val="2C3E50"/>
          <w:sz w:val="22"/>
          <w:szCs w:val="22"/>
        </w:rPr>
        <w:t xml:space="preserve">Leave types: Casual, Sick, Exam (for Articles), Training, Public Holiday, Other</w:t>
      </w:r>
    </w:p>
    <w:p>
      <w:pPr>
        <w:pStyle w:val="ListParagraph"/>
        <w:numPr>
          <w:ilvl w:val="0"/>
          <w:numId w:val="2"/>
        </w:numPr>
        <w:spacing w:after="60"/>
      </w:pPr>
      <w:r>
        <w:rPr>
          <w:rFonts w:ascii="Arial" w:cs="Arial" w:eastAsia="Arial" w:hAnsi="Arial"/>
          <w:color w:val="2C3E50"/>
          <w:sz w:val="22"/>
          <w:szCs w:val="22"/>
        </w:rPr>
        <w:t xml:space="preserve">Leave status workflow: Pending → Approved / Rejected / Cancelled</w:t>
      </w:r>
    </w:p>
    <w:p>
      <w:pPr>
        <w:pStyle w:val="ListParagraph"/>
        <w:numPr>
          <w:ilvl w:val="0"/>
          <w:numId w:val="2"/>
        </w:numPr>
        <w:spacing w:after="60"/>
      </w:pPr>
      <w:r>
        <w:rPr>
          <w:rFonts w:ascii="Arial" w:cs="Arial" w:eastAsia="Arial" w:hAnsi="Arial"/>
          <w:color w:val="2C3E50"/>
          <w:sz w:val="22"/>
          <w:szCs w:val="22"/>
        </w:rPr>
        <w:t xml:space="preserve">When someone is on leave, their pending tasks are flagged for reassignment</w:t>
      </w:r>
    </w:p>
    <w:p>
      <w:pPr>
        <w:pStyle w:val="ListParagraph"/>
        <w:numPr>
          <w:ilvl w:val="0"/>
          <w:numId w:val="2"/>
        </w:numPr>
        <w:spacing w:after="60"/>
      </w:pPr>
      <w:r>
        <w:rPr>
          <w:rFonts w:ascii="Arial" w:cs="Arial" w:eastAsia="Arial" w:hAnsi="Arial"/>
          <w:color w:val="2C3E50"/>
          <w:sz w:val="22"/>
          <w:szCs w:val="22"/>
        </w:rPr>
        <w:t xml:space="preserve">Half-day leave supported</w:t>
      </w:r>
    </w:p>
    <w:p>
      <w:pPr>
        <w:pStyle w:val="Heading2"/>
      </w:pPr>
      <w:r>
        <w:t xml:space="preserve">F4.3  Partner Approval Queue</w:t>
      </w:r>
    </w:p>
    <w:p>
      <w:pPr>
        <w:spacing w:after="120"/>
      </w:pPr>
      <w:r>
        <w:rPr>
          <w:rFonts w:ascii="Arial" w:cs="Arial" w:eastAsia="Arial" w:hAnsi="Arial"/>
          <w:color w:val="2C3E50"/>
          <w:sz w:val="22"/>
          <w:szCs w:val="22"/>
        </w:rPr>
        <w:t xml:space="preserve">Dedicated view showing only tasks in Partner Approval status, filtered by reviewer_id or assigned_partner_id. Sorted by due date ascending, priority descending. One-click approve or send back with a comment.</w:t>
      </w:r>
    </w:p>
    <w:p>
      <w:pPr>
        <w:pStyle w:val="Heading2"/>
      </w:pPr>
      <w:r>
        <w:t xml:space="preserve">F4.4  Role-Based Task Assignment</w:t>
      </w:r>
    </w:p>
    <w:p>
      <w:pPr>
        <w:spacing w:after="120"/>
      </w:pPr>
      <w:r>
        <w:rPr>
          <w:rFonts w:ascii="Arial" w:cs="Arial" w:eastAsia="Arial" w:hAnsi="Arial"/>
          <w:color w:val="2C3E50"/>
          <w:sz w:val="22"/>
          <w:szCs w:val="22"/>
        </w:rPr>
        <w:t xml:space="preserve">Task templates define the expected assignee level for each step. The system flags mismatches — if a Partner has tasks that should be handled by a Junior, it surfaces the issue. Assignment suggestions based on current workload balance.</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06  Authentication &amp; Authorization</w:t>
      </w:r>
    </w:p>
    <w:p>
      <w:pPr>
        <w:spacing w:after="120"/>
      </w:pPr>
      <w:r>
        <w:rPr>
          <w:rFonts w:ascii="Arial" w:cs="Arial" w:eastAsia="Arial" w:hAnsi="Arial"/>
          <w:color w:val="2C3E50"/>
          <w:sz w:val="22"/>
          <w:szCs w:val="22"/>
        </w:rPr>
        <w:t xml:space="preserve">The auth system is the security backbone of the platform. It handles user identity, session management, and role-based access control (RBAC) across all modules.</w:t>
      </w:r>
    </w:p>
    <w:p>
      <w:pPr>
        <w:pStyle w:val="Heading2"/>
      </w:pPr>
      <w:r>
        <w:t xml:space="preserve">Authentication Architecture</w:t>
      </w:r>
    </w:p>
    <w:p>
      <w:pPr>
        <w:spacing w:after="120"/>
      </w:pPr>
      <w:r>
        <w:rPr>
          <w:rFonts w:ascii="Arial" w:cs="Arial" w:eastAsia="Arial" w:hAnsi="Arial"/>
          <w:color w:val="2C3E50"/>
          <w:sz w:val="22"/>
          <w:szCs w:val="22"/>
        </w:rPr>
        <w:t xml:space="preserve">JWT-based authentication with a session-as-kill-switch design. The JWT does not expire in any meaningful way (safety-net 365d). The real revocation mechanism is the sessions table in PostgreSQL, cached in Redis. When a user logs out or an admin revokes a session, the session row is deleted and the token becomes immediately invalid on the next request.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6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Authentication Method</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JWT-based with session-as-kill-switch. No refresh tokens.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Token Expiry</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Safety-net 365d. Real revocation via session deletion in PostgreSQL + Redis.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Session Storage</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PostgreSQL (persistent) + Redis (cache). Redis checked first, PostgreSQL fallback.</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Password Hashing</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bcrypt with cost factor 12. Minimum 8 chars: 1 upper, 1 lower, 1 digit, 1 special.</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Max Concurrent Sessions</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 per user. Oldest evicted when limit reached.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Rate Limiting</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 login attempts per minute per email. Account locked 30 min after 10 consecutive failures.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Multi-Tenancy</w:t>
            </w:r>
          </w:p>
        </w:tc>
        <w:tc>
          <w:tcPr>
            <w:tcW w:type="dxa" w:w="6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firm_id embedded in JWT. All queries scoped via Prisma extension + AsyncLocalStorage.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Token Storage (Frontend)</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localStorage with Authorization: Bearer header. Session kill-switch makes stolen tokens useless after revocation.</w:t>
            </w:r>
          </w:p>
        </w:tc>
      </w:tr>
    </w:tbl>
    <w:p>
      <w:pPr>
        <w:spacing w:after="200"/>
      </w:pPr>
    </w:p>
    <w:p>
      <w:pPr>
        <w:pStyle w:val="Heading2"/>
      </w:pPr>
      <w:r>
        <w:t xml:space="preserve">Token Flow</w:t>
      </w:r>
    </w:p>
    <w:p>
      <w:pPr>
        <w:spacing w:after="120"/>
      </w:pPr>
      <w:r>
        <w:rPr>
          <w:rFonts w:ascii="Arial" w:cs="Arial" w:eastAsia="Arial" w:hAnsi="Arial"/>
          <w:color w:val="2C3E50"/>
          <w:sz w:val="22"/>
          <w:szCs w:val="22"/>
        </w:rPr>
        <w:t xml:space="preserve">Every request follows this path: verify JWT signature, check Redis for session (cache hit = proceed), if not in Redis check PostgreSQL sessions table (if found, repopulate Redis and proceed; if not found, return 401 Unauthorized). Logout deletes the session from both PostgreSQL and Redis, returning 204.</w:t>
      </w:r>
    </w:p>
    <w:p>
      <w:pPr>
        <w:spacing w:after="100"/>
      </w:pPr>
    </w:p>
    <w:p>
      <w:pPr>
        <w:pStyle w:val="Heading2"/>
      </w:pPr>
      <w:r>
        <w:t xml:space="preserve">JWT Payload</w:t>
      </w:r>
    </w:p>
    <w:p>
      <w:pPr>
        <w:spacing w:after="120"/>
      </w:pPr>
      <w:r>
        <w:rPr>
          <w:rFonts w:ascii="Arial" w:cs="Arial" w:eastAsia="Arial" w:hAnsi="Arial"/>
          <w:color w:val="2C3E50"/>
          <w:sz w:val="22"/>
          <w:szCs w:val="22"/>
        </w:rPr>
        <w:t xml:space="preserve">The JWT contains: sub (userId as UUID), firmId (enables firm scoping without DB lookup), role (one of the 5 roles), email (for logging/audit), sessionId (the kill switch), and iat (issued-at). No exp is set in the payload — the session table is the source of truth.</w:t>
      </w:r>
    </w:p>
    <w:p>
      <w:pPr>
        <w:spacing w:after="200"/>
      </w:pPr>
    </w:p>
    <w:p>
      <w:pPr>
        <w:pStyle w:val="Heading2"/>
      </w:pPr>
      <w:r>
        <w:t xml:space="preserve">Multi-Tenancy &amp; Firm Scoping</w:t>
      </w:r>
    </w:p>
    <w:p>
      <w:pPr>
        <w:spacing w:after="120"/>
      </w:pPr>
      <w:r>
        <w:rPr>
          <w:rFonts w:ascii="Arial" w:cs="Arial" w:eastAsia="Arial" w:hAnsi="Arial"/>
          <w:color w:val="2C3E50"/>
          <w:sz w:val="22"/>
          <w:szCs w:val="22"/>
        </w:rPr>
        <w:t xml:space="preserve">Every table that holds firm data carries a firm_id column indexed for performance. All queries are automatically scoped by firm_id via a Prisma extension and AsyncLocalStorage — there is no way to accidentally query across firm boundaries. The firmId is embedded in the JWT, set in AsyncLocalStorage by ContextMiddleware on every request, and enforced by the FirmScopeGuard.</w:t>
      </w:r>
    </w:p>
    <w:p>
      <w:pPr>
        <w:spacing w:after="200"/>
      </w:pPr>
    </w:p>
    <w:p>
      <w:pPr>
        <w:pStyle w:val="Heading1"/>
      </w:pPr>
      <w:r>
        <w:t xml:space="preserve">07  RBAC — Role Definitions</w:t>
      </w:r>
    </w:p>
    <w:p>
      <w:pPr>
        <w:spacing w:after="120"/>
      </w:pPr>
      <w:r>
        <w:rPr>
          <w:rFonts w:ascii="Arial" w:cs="Arial" w:eastAsia="Arial" w:hAnsi="Arial"/>
          <w:color w:val="2C3E50"/>
          <w:sz w:val="22"/>
          <w:szCs w:val="22"/>
        </w:rPr>
        <w:t xml:space="preserve">Every user has exactly one role. Role changes are logged in a user_role_history table. The five roles map to the real hierarchy in Indian CA firms.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&amp; Access Summary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PARTNER</w:t>
            </w:r>
          </w:p>
        </w:tc>
        <w:tc>
          <w:tcPr>
            <w:tcW w:type="dxa" w:w="7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Senior CA / firm owner. Full access to all data. Approves tasks, signs off on filings, manages DSCs. The only role that can approve tasks in Partner Approval status.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MANAGER</w:t>
            </w:r>
          </w:p>
        </w:tc>
        <w:tc>
          <w:tcPr>
            <w:tcW w:type="dxa" w:w="7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Senior team member who oversees client engagements and reviews work. Full access to tasks, scoped access to clients and engagements they are assigned to. Can approve leave for direct reports.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JUNIOR_CA</w:t>
            </w:r>
          </w:p>
        </w:tc>
        <w:tc>
          <w:tcPr>
            <w:tcW w:type="dxa" w:w="7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Qualified CA executing task work. Can create and manage their own tasks, view assigned clients and engagements read-only. Can upload documents for assigned work.</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ARTICLE</w:t>
            </w:r>
          </w:p>
        </w:tc>
        <w:tc>
          <w:tcPr>
            <w:tcW w:type="dxa" w:w="7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 intern/trainee under supervision. Same access level as Junior CA but cannot view credentials. Focused on execution with minimal administrative access.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ADMIN</w:t>
            </w:r>
          </w:p>
        </w:tc>
        <w:tc>
          <w:tcPr>
            <w:tcW w:type="dxa" w:w="7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Firm-level administrator managing settings, users, and billing. Full access to all resources except task approval (which is a CA-specific action reserved for Partners).</w:t>
            </w:r>
          </w:p>
        </w:tc>
      </w:tr>
    </w:tbl>
    <w:p>
      <w:pPr>
        <w:spacing w:after="200"/>
      </w:pPr>
    </w:p>
    <w:p>
      <w:pPr>
        <w:pStyle w:val="Heading1"/>
      </w:pPr>
      <w:r>
        <w:t xml:space="preserve">08  RBAC — Permission Levels</w:t>
      </w:r>
    </w:p>
    <w:p>
      <w:pPr>
        <w:spacing w:after="120"/>
      </w:pPr>
      <w:r>
        <w:rPr>
          <w:rFonts w:ascii="Arial" w:cs="Arial" w:eastAsia="Arial" w:hAnsi="Arial"/>
          <w:color w:val="2C3E50"/>
          <w:sz w:val="22"/>
          <w:szCs w:val="22"/>
        </w:rPr>
        <w:t xml:space="preserve">The RBAC system uses 11 distinct permission levels. Each resource–role combination maps to exactly one of these levels. The permission is checked at the service layer (not the controller) to enable fine-grained filtering based on assignment.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Level</w:t>
            </w:r>
          </w:p>
        </w:tc>
        <w:tc>
          <w:tcPr>
            <w:tcW w:type="dxa" w:w="6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FULL</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Create, read, update, delete all records in the firm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FULL_ASSIGNED</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CRUD but only on records assigned to the user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FULL_SCOPED</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CRUD within the user's team scope (e.g. Manager's direct reports' clients)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READ</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Read-only access to all records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READ_ASSIGNED</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Read-only on records assigned to the user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OWN</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Only records created by or assigned to the user</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OWN_ASSIGNED</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Own records plus records explicitly assigned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APPROVE</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 approve or reject (e.g. Partner approving tasks, leave)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APPROVE_TEAM</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 approve for direct reports only</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UPLOAD_READ_ASSIGNED</w:t>
            </w:r>
          </w:p>
        </w:tc>
        <w:tc>
          <w:tcPr>
            <w:tcW w:type="dxa" w:w="62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 upload new documents and read documents on assigned records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NONE</w:t>
            </w:r>
          </w:p>
        </w:tc>
        <w:tc>
          <w:tcPr>
            <w:tcW w:type="dxa" w:w="62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 access whatsoever</w:t>
            </w:r>
          </w:p>
        </w:tc>
      </w:tr>
    </w:tbl>
    <w:p>
      <w:pPr>
        <w:spacing w:after="200"/>
      </w:pPr>
    </w:p>
    <w:p>
      <w:pPr>
        <w:pStyle w:val="Heading1"/>
      </w:pPr>
      <w:r>
        <w:t xml:space="preserve">09  RBAC — Full Permission Matrix</w:t>
      </w:r>
    </w:p>
    <w:p>
      <w:pPr>
        <w:spacing w:after="120"/>
      </w:pPr>
      <w:r>
        <w:rPr>
          <w:rFonts w:ascii="Arial" w:cs="Arial" w:eastAsia="Arial" w:hAnsi="Arial"/>
          <w:color w:val="2C3E50"/>
          <w:sz w:val="22"/>
          <w:szCs w:val="22"/>
        </w:rPr>
        <w:t xml:space="preserve">This matrix is the source of truth for all authorization decisions across the platform. It maps every resource to every role with a specific permission level. Guards and service-layer checks derive their logic from this matrix.</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144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w:t>
            </w:r>
          </w:p>
        </w:tc>
        <w:tc>
          <w:tcPr>
            <w:tcW w:type="dxa" w:w="144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MANAGER</w:t>
            </w:r>
          </w:p>
        </w:tc>
        <w:tc>
          <w:tcPr>
            <w:tcW w:type="dxa" w:w="144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JUNIOR CA</w:t>
            </w:r>
          </w:p>
        </w:tc>
        <w:tc>
          <w:tcPr>
            <w:tcW w:type="dxa" w:w="144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144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Firm Settings</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Users</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READ_ASSIGNED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Clients</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FULL_ASSIGNED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Engagements</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FULL_ASSIGNED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READ_ASSIGNED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READ_ASSIGNED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Tasks</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OWN_ASSIGNED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OWN_ASSIGNED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Task Approval</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8E44AD"/>
                <w:sz w:val="20"/>
                <w:szCs w:val="20"/>
              </w:rPr>
              <w:t xml:space="preserve">APPROVE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Documents</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UPLOAD_READ_ASSIGNED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UPLOAD_READ_ASSIGNED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Credentials</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FULL_SCOPED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READ_ASSIGNED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E74C3C"/>
                <w:sz w:val="20"/>
                <w:szCs w:val="20"/>
              </w:rPr>
              <w:t xml:space="preserve">NONE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DSC</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Compliance</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w:t>
            </w:r>
          </w:p>
        </w:tc>
        <w:tc>
          <w:tcPr>
            <w:tcW w:type="dxa" w:w="1445"/>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FULL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Leave</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8E44AD"/>
                <w:sz w:val="20"/>
                <w:szCs w:val="20"/>
              </w:rPr>
              <w:t xml:space="preserve">APPROVE</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8E44AD"/>
                <w:sz w:val="20"/>
                <w:szCs w:val="20"/>
              </w:rPr>
              <w:t xml:space="preserve">APPROVE_TEAM</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OWN</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OWN</w:t>
            </w:r>
          </w:p>
        </w:tc>
        <w:tc>
          <w:tcPr>
            <w:tcW w:type="dxa" w:w="144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8E44AD"/>
                <w:sz w:val="20"/>
                <w:szCs w:val="20"/>
              </w:rPr>
              <w:t xml:space="preserve">APPROVE</w:t>
            </w:r>
          </w:p>
        </w:tc>
      </w:tr>
    </w:tbl>
    <w:p>
      <w:pPr>
        <w:spacing w:after="200"/>
      </w:pPr>
    </w:p>
    <w:p>
      <w:pPr>
        <w:pStyle w:val="Heading2"/>
      </w:pPr>
      <w:r>
        <w:t xml:space="preserve">How RBAC Is Enforced</w:t>
      </w:r>
    </w:p>
    <w:p>
      <w:pPr>
        <w:spacing w:after="120"/>
      </w:pPr>
      <w:r>
        <w:rPr>
          <w:rFonts w:ascii="Arial" w:cs="Arial" w:eastAsia="Arial" w:hAnsi="Arial"/>
          <w:color w:val="2C3E50"/>
          <w:sz w:val="22"/>
          <w:szCs w:val="22"/>
        </w:rPr>
        <w:t xml:space="preserve">Three globally-applied guards execute in sequence on every authenticated request:</w:t>
      </w:r>
    </w:p>
    <w:p>
      <w:pPr>
        <w:pStyle w:val="ListParagraph"/>
        <w:numPr>
          <w:ilvl w:val="0"/>
          <w:numId w:val="2"/>
        </w:numPr>
        <w:spacing w:after="60"/>
      </w:pPr>
      <w:r>
        <w:rPr>
          <w:rFonts w:ascii="Arial" w:cs="Arial" w:eastAsia="Arial" w:hAnsi="Arial"/>
          <w:color w:val="2C3E50"/>
          <w:sz w:val="22"/>
          <w:szCs w:val="22"/>
        </w:rPr>
        <w:t xml:space="preserve">JwtAuthGuard — validates the JWT signature and checks that the session exists (Redis first, PostgreSQL fallback). Skips routes marked @Public.</w:t>
      </w:r>
    </w:p>
    <w:p>
      <w:pPr>
        <w:pStyle w:val="ListParagraph"/>
        <w:numPr>
          <w:ilvl w:val="0"/>
          <w:numId w:val="2"/>
        </w:numPr>
        <w:spacing w:after="60"/>
      </w:pPr>
      <w:r>
        <w:rPr>
          <w:rFonts w:ascii="Arial" w:cs="Arial" w:eastAsia="Arial" w:hAnsi="Arial"/>
          <w:color w:val="2C3E50"/>
          <w:sz w:val="22"/>
          <w:szCs w:val="22"/>
        </w:rPr>
        <w:t xml:space="preserve">RolesGuard — checks the @Roles() decorator on the endpoint. If no decorator is present, all authenticated users pass. If roles are specified, the user's role must match one of them.</w:t>
      </w:r>
    </w:p>
    <w:p>
      <w:pPr>
        <w:pStyle w:val="ListParagraph"/>
        <w:numPr>
          <w:ilvl w:val="0"/>
          <w:numId w:val="2"/>
        </w:numPr>
        <w:spacing w:after="60"/>
      </w:pPr>
      <w:r>
        <w:rPr>
          <w:rFonts w:ascii="Arial" w:cs="Arial" w:eastAsia="Arial" w:hAnsi="Arial"/>
          <w:color w:val="2C3E50"/>
          <w:sz w:val="22"/>
          <w:szCs w:val="22"/>
        </w:rPr>
        <w:t xml:space="preserve">FirmScopeGuard — ensures the firmId is present in the JWT payload. This is a sanity check; if a request gets past JwtAuthGuard without a firmId, something is critically wrong.</w:t>
      </w:r>
    </w:p>
    <w:p>
      <w:pPr>
        <w:spacing w:after="120"/>
      </w:pPr>
      <w:r>
        <w:rPr>
          <w:rFonts w:ascii="Arial" w:cs="Arial" w:eastAsia="Arial" w:hAnsi="Arial"/>
          <w:color w:val="2C3E50"/>
          <w:sz w:val="22"/>
          <w:szCs w:val="22"/>
        </w:rPr>
        <w:t xml:space="preserve">For resource-level permissions that depend on assignment (e.g. a Manager can only see clients they are assigned to), the getPermission() helper function is called in the service layer. The service switches on the returned permission level to apply the appropriate query filter.</w:t>
      </w:r>
    </w:p>
    <w:p>
      <w:pPr>
        <w:spacing w:after="100"/>
      </w:pPr>
    </w:p>
    <w:p>
      <w:pPr>
        <w:pStyle w:val="Heading2"/>
      </w:pPr>
      <w:r>
        <w:t xml:space="preserve">RBAC Examples by Resource</w:t>
      </w:r>
    </w:p>
    <w:p>
      <w:pPr>
        <w:pStyle w:val="Heading3"/>
      </w:pPr>
      <w:r>
        <w:t xml:space="preserve">Clients</w:t>
      </w:r>
    </w:p>
    <w:p>
      <w:pPr>
        <w:pStyle w:val="ListParagraph"/>
        <w:numPr>
          <w:ilvl w:val="0"/>
          <w:numId w:val="2"/>
        </w:numPr>
        <w:spacing w:after="60"/>
      </w:pPr>
      <w:r>
        <w:rPr>
          <w:rFonts w:ascii="Arial" w:cs="Arial" w:eastAsia="Arial" w:hAnsi="Arial"/>
          <w:color w:val="2C3E50"/>
          <w:sz w:val="22"/>
          <w:szCs w:val="22"/>
        </w:rPr>
        <w:t xml:space="preserve">Partner: sees all clients in the firm (FULL)</w:t>
      </w:r>
    </w:p>
    <w:p>
      <w:pPr>
        <w:pStyle w:val="ListParagraph"/>
        <w:numPr>
          <w:ilvl w:val="0"/>
          <w:numId w:val="2"/>
        </w:numPr>
        <w:spacing w:after="60"/>
      </w:pPr>
      <w:r>
        <w:rPr>
          <w:rFonts w:ascii="Arial" w:cs="Arial" w:eastAsia="Arial" w:hAnsi="Arial"/>
          <w:color w:val="2C3E50"/>
          <w:sz w:val="22"/>
          <w:szCs w:val="22"/>
        </w:rPr>
        <w:t xml:space="preserve">Manager: sees only clients where they are assigned_partner, assigned_manager, assigned_junior, or assigned_article (FULL_ASSIGNED)</w:t>
      </w:r>
    </w:p>
    <w:p>
      <w:pPr>
        <w:pStyle w:val="ListParagraph"/>
        <w:numPr>
          <w:ilvl w:val="0"/>
          <w:numId w:val="2"/>
        </w:numPr>
        <w:spacing w:after="60"/>
      </w:pPr>
      <w:r>
        <w:rPr>
          <w:rFonts w:ascii="Arial" w:cs="Arial" w:eastAsia="Arial" w:hAnsi="Arial"/>
          <w:color w:val="2C3E50"/>
          <w:sz w:val="22"/>
          <w:szCs w:val="22"/>
        </w:rPr>
        <w:t xml:space="preserve">Junior CA / Article: can only read client records they are assigned to (READ_ASSIGNED)</w:t>
      </w:r>
    </w:p>
    <w:p>
      <w:pPr>
        <w:pStyle w:val="ListParagraph"/>
        <w:numPr>
          <w:ilvl w:val="0"/>
          <w:numId w:val="2"/>
        </w:numPr>
        <w:spacing w:after="60"/>
      </w:pPr>
      <w:r>
        <w:rPr>
          <w:rFonts w:ascii="Arial" w:cs="Arial" w:eastAsia="Arial" w:hAnsi="Arial"/>
          <w:color w:val="2C3E50"/>
          <w:sz w:val="22"/>
          <w:szCs w:val="22"/>
        </w:rPr>
        <w:t xml:space="preserve">Admin: full access for management purposes (FULL)</w:t>
      </w:r>
    </w:p>
    <w:p>
      <w:pPr>
        <w:pStyle w:val="Heading3"/>
      </w:pPr>
      <w:r>
        <w:t xml:space="preserve">Credentials</w:t>
      </w:r>
    </w:p>
    <w:p>
      <w:pPr>
        <w:pStyle w:val="ListParagraph"/>
        <w:numPr>
          <w:ilvl w:val="0"/>
          <w:numId w:val="2"/>
        </w:numPr>
        <w:spacing w:after="60"/>
      </w:pPr>
      <w:r>
        <w:rPr>
          <w:rFonts w:ascii="Arial" w:cs="Arial" w:eastAsia="Arial" w:hAnsi="Arial"/>
          <w:color w:val="2C3E50"/>
          <w:sz w:val="22"/>
          <w:szCs w:val="22"/>
        </w:rPr>
        <w:t xml:space="preserve">Partner: full access to all credentials (FULL)</w:t>
      </w:r>
    </w:p>
    <w:p>
      <w:pPr>
        <w:pStyle w:val="ListParagraph"/>
        <w:numPr>
          <w:ilvl w:val="0"/>
          <w:numId w:val="2"/>
        </w:numPr>
        <w:spacing w:after="60"/>
      </w:pPr>
      <w:r>
        <w:rPr>
          <w:rFonts w:ascii="Arial" w:cs="Arial" w:eastAsia="Arial" w:hAnsi="Arial"/>
          <w:color w:val="2C3E50"/>
          <w:sz w:val="22"/>
          <w:szCs w:val="22"/>
        </w:rPr>
        <w:t xml:space="preserve">Manager: can manage credentials within their team scope (FULL_SCOPED)</w:t>
      </w:r>
    </w:p>
    <w:p>
      <w:pPr>
        <w:pStyle w:val="ListParagraph"/>
        <w:numPr>
          <w:ilvl w:val="0"/>
          <w:numId w:val="2"/>
        </w:numPr>
        <w:spacing w:after="60"/>
      </w:pPr>
      <w:r>
        <w:rPr>
          <w:rFonts w:ascii="Arial" w:cs="Arial" w:eastAsia="Arial" w:hAnsi="Arial"/>
          <w:color w:val="2C3E50"/>
          <w:sz w:val="22"/>
          <w:szCs w:val="22"/>
        </w:rPr>
        <w:t xml:space="preserve">Junior CA: can view credentials for assigned clients only (READ_ASSIGNED)</w:t>
      </w:r>
    </w:p>
    <w:p>
      <w:pPr>
        <w:pStyle w:val="ListParagraph"/>
        <w:numPr>
          <w:ilvl w:val="0"/>
          <w:numId w:val="2"/>
        </w:numPr>
        <w:spacing w:after="60"/>
      </w:pPr>
      <w:r>
        <w:rPr>
          <w:rFonts w:ascii="Arial" w:cs="Arial" w:eastAsia="Arial" w:hAnsi="Arial"/>
          <w:color w:val="2C3E50"/>
          <w:sz w:val="22"/>
          <w:szCs w:val="22"/>
        </w:rPr>
        <w:t xml:space="preserve">Article: no access whatsoever (NONE) — this is a deliberate security decision for interns</w:t>
      </w:r>
    </w:p>
    <w:p>
      <w:pPr>
        <w:pStyle w:val="ListParagraph"/>
        <w:numPr>
          <w:ilvl w:val="0"/>
          <w:numId w:val="2"/>
        </w:numPr>
        <w:spacing w:after="60"/>
      </w:pPr>
      <w:r>
        <w:rPr>
          <w:rFonts w:ascii="Arial" w:cs="Arial" w:eastAsia="Arial" w:hAnsi="Arial"/>
          <w:color w:val="2C3E50"/>
          <w:sz w:val="22"/>
          <w:szCs w:val="22"/>
        </w:rPr>
        <w:t xml:space="preserve">Every credential view or copy is logged to an immutable audit trail regardless of role</w:t>
      </w:r>
    </w:p>
    <w:p>
      <w:pPr>
        <w:pStyle w:val="Heading3"/>
      </w:pPr>
      <w:r>
        <w:t xml:space="preserve">Tasks</w:t>
      </w:r>
    </w:p>
    <w:p>
      <w:pPr>
        <w:pStyle w:val="ListParagraph"/>
        <w:numPr>
          <w:ilvl w:val="0"/>
          <w:numId w:val="2"/>
        </w:numPr>
        <w:spacing w:after="60"/>
      </w:pPr>
      <w:r>
        <w:rPr>
          <w:rFonts w:ascii="Arial" w:cs="Arial" w:eastAsia="Arial" w:hAnsi="Arial"/>
          <w:color w:val="2C3E50"/>
          <w:sz w:val="22"/>
          <w:szCs w:val="22"/>
        </w:rPr>
        <w:t xml:space="preserve">Partner and Manager: full access to all tasks in the firm (FULL)</w:t>
      </w:r>
    </w:p>
    <w:p>
      <w:pPr>
        <w:pStyle w:val="ListParagraph"/>
        <w:numPr>
          <w:ilvl w:val="0"/>
          <w:numId w:val="2"/>
        </w:numPr>
        <w:spacing w:after="60"/>
      </w:pPr>
      <w:r>
        <w:rPr>
          <w:rFonts w:ascii="Arial" w:cs="Arial" w:eastAsia="Arial" w:hAnsi="Arial"/>
          <w:color w:val="2C3E50"/>
          <w:sz w:val="22"/>
          <w:szCs w:val="22"/>
        </w:rPr>
        <w:t xml:space="preserve">Junior CA / Article: can view and manage only their own tasks or tasks assigned to them (OWN_ASSIGNED)</w:t>
      </w:r>
    </w:p>
    <w:p>
      <w:pPr>
        <w:pStyle w:val="ListParagraph"/>
        <w:numPr>
          <w:ilvl w:val="0"/>
          <w:numId w:val="2"/>
        </w:numPr>
        <w:spacing w:after="60"/>
      </w:pPr>
      <w:r>
        <w:rPr>
          <w:rFonts w:ascii="Arial" w:cs="Arial" w:eastAsia="Arial" w:hAnsi="Arial"/>
          <w:color w:val="2C3E50"/>
          <w:sz w:val="22"/>
          <w:szCs w:val="22"/>
        </w:rPr>
        <w:t xml:space="preserve">Task approval (moving a task to Done from Partner Approval): only Partner role has APPROVE permission</w:t>
      </w:r>
    </w:p>
    <w:p>
      <w:pPr>
        <w:pStyle w:val="Heading3"/>
      </w:pPr>
      <w:r>
        <w:t xml:space="preserve">Leave</w:t>
      </w:r>
    </w:p>
    <w:p>
      <w:pPr>
        <w:pStyle w:val="ListParagraph"/>
        <w:numPr>
          <w:ilvl w:val="0"/>
          <w:numId w:val="2"/>
        </w:numPr>
        <w:spacing w:after="60"/>
      </w:pPr>
      <w:r>
        <w:rPr>
          <w:rFonts w:ascii="Arial" w:cs="Arial" w:eastAsia="Arial" w:hAnsi="Arial"/>
          <w:color w:val="2C3E50"/>
          <w:sz w:val="22"/>
          <w:szCs w:val="22"/>
        </w:rPr>
        <w:t xml:space="preserve">Partner / Admin: can approve all leave requests (APPROVE)</w:t>
      </w:r>
    </w:p>
    <w:p>
      <w:pPr>
        <w:pStyle w:val="ListParagraph"/>
        <w:numPr>
          <w:ilvl w:val="0"/>
          <w:numId w:val="2"/>
        </w:numPr>
        <w:spacing w:after="60"/>
      </w:pPr>
      <w:r>
        <w:rPr>
          <w:rFonts w:ascii="Arial" w:cs="Arial" w:eastAsia="Arial" w:hAnsi="Arial"/>
          <w:color w:val="2C3E50"/>
          <w:sz w:val="22"/>
          <w:szCs w:val="22"/>
        </w:rPr>
        <w:t xml:space="preserve">Manager: can approve leave for direct reports only (APPROVE_TEAM)</w:t>
      </w:r>
    </w:p>
    <w:p>
      <w:pPr>
        <w:pStyle w:val="ListParagraph"/>
        <w:numPr>
          <w:ilvl w:val="0"/>
          <w:numId w:val="2"/>
        </w:numPr>
        <w:spacing w:after="60"/>
      </w:pPr>
      <w:r>
        <w:rPr>
          <w:rFonts w:ascii="Arial" w:cs="Arial" w:eastAsia="Arial" w:hAnsi="Arial"/>
          <w:color w:val="2C3E50"/>
          <w:sz w:val="22"/>
          <w:szCs w:val="22"/>
        </w:rPr>
        <w:t xml:space="preserve">Junior CA / Article: can only manage their own leave requests (OWN)</w:t>
      </w:r>
    </w:p>
    <w:p>
      <w:pPr>
        <w:sectPr>
          <w:pgSz w:w="11906" w:h="16838" w:orient="portrait"/>
          <w:pgMar w:top="1440" w:right="1440" w:bottom="1440" w:left="1440" w:header="708" w:footer="708" w:gutter="0"/>
          <w:pgNumType/>
          <w:docGrid w:linePitch="360"/>
        </w:sectPr>
      </w:pPr>
    </w:p>
    <w:p>
      <w:pPr>
        <w:pStyle w:val="Heading1"/>
      </w:pPr>
      <w:r>
        <w:t xml:space="preserve">10  Notifications</w:t>
      </w:r>
    </w:p>
    <w:p>
      <w:pPr>
        <w:spacing w:after="120"/>
      </w:pPr>
      <w:r>
        <w:rPr>
          <w:rFonts w:ascii="Arial" w:cs="Arial" w:eastAsia="Arial" w:hAnsi="Arial"/>
          <w:color w:val="2C3E50"/>
          <w:sz w:val="22"/>
          <w:szCs w:val="22"/>
        </w:rPr>
        <w:t xml:space="preserve">Notifications are role-specific. Most tools notify everyone about everything — this trains people to ignore them. CA Practice OS sends targeted alerts based on what each role actually needs to act on.</w:t>
      </w:r>
    </w:p>
    <w:p>
      <w:pPr>
        <w:pStyle w:val="Heading2"/>
      </w:pPr>
      <w:r>
        <w:t xml:space="preserve">Notification Channels</w:t>
      </w:r>
    </w:p>
    <w:p>
      <w:pPr>
        <w:spacing w:after="120"/>
      </w:pPr>
      <w:r>
        <w:rPr>
          <w:rFonts w:ascii="Arial" w:cs="Arial" w:eastAsia="Arial" w:hAnsi="Arial"/>
          <w:color w:val="2C3E50"/>
          <w:sz w:val="22"/>
          <w:szCs w:val="22"/>
        </w:rPr>
        <w:t xml:space="preserve">V1 supports two notification channels: in-app (always on) and email (configurable per alert type). Users can mute notifications temporarily via their notification preferences. Each notification is stored with status tracking: Pending, Sent, Failed, Read.</w:t>
      </w:r>
    </w:p>
    <w:p>
      <w:pPr>
        <w:spacing w:after="100"/>
      </w:pPr>
    </w:p>
    <w:p>
      <w:pPr>
        <w:pStyle w:val="Heading2"/>
      </w:pPr>
      <w:r>
        <w:t xml:space="preserve">Role-Based Notification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Notified When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Article / Junior</w:t>
            </w:r>
          </w:p>
        </w:tc>
        <w:tc>
          <w:tcPr>
            <w:tcW w:type="dxa" w:w="5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New task assigned, document uploaded, @mention in comment, internal deadline approaching</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In-App, Email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Manager</w:t>
            </w:r>
          </w:p>
        </w:tc>
        <w:tc>
          <w:tcPr>
            <w:tcW w:type="dxa" w:w="5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Task overdue, task stuck in same status &gt;2 days, document request pending &gt;3 days, team leave requests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In-App, Email</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Partner</w:t>
            </w:r>
          </w:p>
        </w:tc>
        <w:tc>
          <w:tcPr>
            <w:tcW w:type="dxa" w:w="50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Task pending approval, statutory deadline &lt;3 days with incomplete tasks, DSC expiring, team leave requests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In-App, Email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Admin</w:t>
            </w:r>
          </w:p>
        </w:tc>
        <w:tc>
          <w:tcPr>
            <w:tcW w:type="dxa" w:w="50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User created/deactivated, subscription alerts, system errors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In-App, Email</w:t>
            </w:r>
          </w:p>
        </w:tc>
      </w:tr>
    </w:tbl>
    <w:p>
      <w:pPr>
        <w:spacing w:after="100"/>
      </w:pPr>
    </w:p>
    <w:p>
      <w:pPr>
        <w:pStyle w:val="Heading2"/>
      </w:pPr>
      <w:r>
        <w:t xml:space="preserve">Automated Notifications</w:t>
      </w:r>
    </w:p>
    <w:p>
      <w:pPr>
        <w:pStyle w:val="ListParagraph"/>
        <w:numPr>
          <w:ilvl w:val="0"/>
          <w:numId w:val="2"/>
        </w:numPr>
        <w:spacing w:after="60"/>
      </w:pPr>
      <w:r>
        <w:rPr>
          <w:rFonts w:ascii="Arial" w:cs="Arial" w:eastAsia="Arial" w:hAnsi="Arial"/>
          <w:color w:val="2C3E50"/>
          <w:sz w:val="22"/>
          <w:szCs w:val="22"/>
        </w:rPr>
        <w:t xml:space="preserve">Overdue detection: daily cron at 07:00 IST flags tasks past due date and tasks stuck in the same status for &gt;2 days</w:t>
      </w:r>
    </w:p>
    <w:p>
      <w:pPr>
        <w:pStyle w:val="ListParagraph"/>
        <w:numPr>
          <w:ilvl w:val="0"/>
          <w:numId w:val="2"/>
        </w:numPr>
        <w:spacing w:after="60"/>
      </w:pPr>
      <w:r>
        <w:rPr>
          <w:rFonts w:ascii="Arial" w:cs="Arial" w:eastAsia="Arial" w:hAnsi="Arial"/>
          <w:color w:val="2C3E50"/>
          <w:sz w:val="22"/>
          <w:szCs w:val="22"/>
        </w:rPr>
        <w:t xml:space="preserve">DSC expiry alerts: daily cron at 08:00 IST sends alerts at 30, 15, and 7 days before expiry</w:t>
      </w:r>
    </w:p>
    <w:p>
      <w:pPr>
        <w:pStyle w:val="ListParagraph"/>
        <w:numPr>
          <w:ilvl w:val="0"/>
          <w:numId w:val="2"/>
        </w:numPr>
        <w:spacing w:after="60"/>
      </w:pPr>
      <w:r>
        <w:rPr>
          <w:rFonts w:ascii="Arial" w:cs="Arial" w:eastAsia="Arial" w:hAnsi="Arial"/>
          <w:color w:val="2C3E50"/>
          <w:sz w:val="22"/>
          <w:szCs w:val="22"/>
        </w:rPr>
        <w:t xml:space="preserve">Document request reminders: daily cron at 09:00 IST auto-reminds clients at days 3, 7, and 14 (max 3 reminders)</w:t>
      </w:r>
    </w:p>
    <w:p>
      <w:pPr>
        <w:pStyle w:val="ListParagraph"/>
        <w:numPr>
          <w:ilvl w:val="0"/>
          <w:numId w:val="2"/>
        </w:numPr>
        <w:spacing w:after="60"/>
      </w:pPr>
      <w:r>
        <w:rPr>
          <w:rFonts w:ascii="Arial" w:cs="Arial" w:eastAsia="Arial" w:hAnsi="Arial"/>
          <w:color w:val="2C3E50"/>
          <w:sz w:val="22"/>
          <w:szCs w:val="22"/>
        </w:rPr>
        <w:t xml:space="preserve">Compliance deadline approaching: triggered immediately when internal_due_date &lt; today and task is still in To Do</w:t>
      </w:r>
    </w:p>
    <w:p>
      <w:pPr>
        <w:pStyle w:val="ListParagraph"/>
        <w:numPr>
          <w:ilvl w:val="0"/>
          <w:numId w:val="2"/>
        </w:numPr>
        <w:spacing w:after="60"/>
      </w:pPr>
      <w:r>
        <w:rPr>
          <w:rFonts w:ascii="Arial" w:cs="Arial" w:eastAsia="Arial" w:hAnsi="Arial"/>
          <w:color w:val="2C3E50"/>
          <w:sz w:val="22"/>
          <w:szCs w:val="22"/>
        </w:rPr>
        <w:t xml:space="preserve">Dependency unblocked: when a predecessor task is completed, the dependent task's assignee is notified</w:t>
      </w:r>
    </w:p>
    <w:p>
      <w:pPr>
        <w:spacing w:after="200"/>
      </w:pPr>
    </w:p>
    <w:p>
      <w:pPr>
        <w:pStyle w:val="Heading1"/>
      </w:pPr>
      <w:r>
        <w:t xml:space="preserve">11  V1 Scope Boundaries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 — V1</w:t>
            </w:r>
          </w:p>
        </w:tc>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OUT — Future Versions</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Task tracking: board, list, and My Tasks views</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Billing &amp; invoicing module (V2)</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CA-native status pipeline (Awaiting Client, Partner Approval)</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Time tracking and billable hours (V2)</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Checklists, dependencies, recurring tasks, bulk actions</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Client portal for self-service status (V2)</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Pre-loaded Indian compliance calendar with auto-task generation</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Tally / Zoho Books integrations (V2)</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Internal vs statutory deadlines with penalty previews</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WhatsApp notification channel (V2)</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Client master with engagement and task linkage</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AI risk scoring and anomaly detection (V3)</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Document vault with version control</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Auto-draft responses to tax notices (V3)</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Document requests with client upload link (email-based)</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Mobile native app (V1.5 — web responsive first)</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Credential locker (AES-256-GCM encrypted)</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SSO / SAML for enterprise (V2)</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DSC tracker with expiry alerts</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Multi-region / data residency controls (V2)</w:t>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Team workload view and leave tracking</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95A5A6"/>
                <w:sz w:val="20"/>
                <w:szCs w:val="20"/>
              </w:rPr>
              <w:t xml:space="preserve">✗  Any actual CA computation or filing work (never)</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Partner approval queue</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w:r>
          </w:p>
        </w:tc>
      </w:tr>
      <w:tr>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Role-based notifications via in-app and email</w:t>
            </w:r>
          </w:p>
        </w:tc>
        <w:tc>
          <w:tcPr>
            <w:tcW w:type="dxa" w:w="4513"/>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7AE60"/>
                <w:sz w:val="20"/>
                <w:szCs w:val="20"/>
              </w:rPr>
              <w:t xml:space="preserve">✓  Full RBAC with 5 roles and 11 resource types</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w:r>
          </w:p>
        </w:tc>
      </w:tr>
    </w:tbl>
    <w:p>
      <w:pPr>
        <w:spacing w:after="200"/>
      </w:pPr>
    </w:p>
    <w:p>
      <w:pPr>
        <w:pStyle w:val="Heading1"/>
      </w:pPr>
      <w:r>
        <w:t xml:space="preserve">12  Technical Architecture Summary</w:t>
      </w:r>
    </w:p>
    <w:p>
      <w:pPr>
        <w:pStyle w:val="Heading2"/>
      </w:pPr>
      <w:r>
        <w:t xml:space="preserve">Stack</w:t>
      </w:r>
    </w:p>
    <w:p>
      <w:pPr>
        <w:pStyle w:val="ListParagraph"/>
        <w:numPr>
          <w:ilvl w:val="0"/>
          <w:numId w:val="2"/>
        </w:numPr>
        <w:spacing w:after="60"/>
      </w:pPr>
      <w:r>
        <w:rPr>
          <w:rFonts w:ascii="Arial" w:cs="Arial" w:eastAsia="Arial" w:hAnsi="Arial"/>
          <w:color w:val="2C3E50"/>
          <w:sz w:val="22"/>
          <w:szCs w:val="22"/>
        </w:rPr>
        <w:t xml:space="preserve">Frontend: Svelte (web application, mobile-responsive, no native app in V1)</w:t>
      </w:r>
    </w:p>
    <w:p>
      <w:pPr>
        <w:pStyle w:val="ListParagraph"/>
        <w:numPr>
          <w:ilvl w:val="0"/>
          <w:numId w:val="2"/>
        </w:numPr>
        <w:spacing w:after="60"/>
      </w:pPr>
      <w:r>
        <w:rPr>
          <w:rFonts w:ascii="Arial" w:cs="Arial" w:eastAsia="Arial" w:hAnsi="Arial"/>
          <w:color w:val="2C3E50"/>
          <w:sz w:val="22"/>
          <w:szCs w:val="22"/>
        </w:rPr>
        <w:t xml:space="preserve">Backend: NestJS with TypeScript</w:t>
      </w:r>
    </w:p>
    <w:p>
      <w:pPr>
        <w:pStyle w:val="ListParagraph"/>
        <w:numPr>
          <w:ilvl w:val="0"/>
          <w:numId w:val="2"/>
        </w:numPr>
        <w:spacing w:after="60"/>
      </w:pPr>
      <w:r>
        <w:rPr>
          <w:rFonts w:ascii="Arial" w:cs="Arial" w:eastAsia="Arial" w:hAnsi="Arial"/>
          <w:color w:val="2C3E50"/>
          <w:sz w:val="22"/>
          <w:szCs w:val="22"/>
        </w:rPr>
        <w:t xml:space="preserve">Primary DB: PostgreSQL with Prisma ORM</w:t>
      </w:r>
    </w:p>
    <w:p>
      <w:pPr>
        <w:pStyle w:val="ListParagraph"/>
        <w:numPr>
          <w:ilvl w:val="0"/>
          <w:numId w:val="2"/>
        </w:numPr>
        <w:spacing w:after="60"/>
      </w:pPr>
      <w:r>
        <w:rPr>
          <w:rFonts w:ascii="Arial" w:cs="Arial" w:eastAsia="Arial" w:hAnsi="Arial"/>
          <w:color w:val="2C3E50"/>
          <w:sz w:val="22"/>
          <w:szCs w:val="22"/>
        </w:rPr>
        <w:t xml:space="preserve">Cache / Session Store: Redis</w:t>
      </w:r>
    </w:p>
    <w:p>
      <w:pPr>
        <w:pStyle w:val="ListParagraph"/>
        <w:numPr>
          <w:ilvl w:val="0"/>
          <w:numId w:val="2"/>
        </w:numPr>
        <w:spacing w:after="60"/>
      </w:pPr>
      <w:r>
        <w:rPr>
          <w:rFonts w:ascii="Arial" w:cs="Arial" w:eastAsia="Arial" w:hAnsi="Arial"/>
          <w:color w:val="2C3E50"/>
          <w:sz w:val="22"/>
          <w:szCs w:val="22"/>
        </w:rPr>
        <w:t xml:space="preserve">Document Storage: S3-compatible (AWS S3 or self-hosted MinIO)</w:t>
      </w:r>
    </w:p>
    <w:p>
      <w:pPr>
        <w:pStyle w:val="ListParagraph"/>
        <w:numPr>
          <w:ilvl w:val="0"/>
          <w:numId w:val="2"/>
        </w:numPr>
        <w:spacing w:after="60"/>
      </w:pPr>
      <w:r>
        <w:rPr>
          <w:rFonts w:ascii="Arial" w:cs="Arial" w:eastAsia="Arial" w:hAnsi="Arial"/>
          <w:color w:val="2C3E50"/>
          <w:sz w:val="22"/>
          <w:szCs w:val="22"/>
        </w:rPr>
        <w:t xml:space="preserve">Email: SMTP or transactional provider (Postmark or SES)</w:t>
      </w:r>
    </w:p>
    <w:p>
      <w:pPr>
        <w:pStyle w:val="ListParagraph"/>
        <w:numPr>
          <w:ilvl w:val="0"/>
          <w:numId w:val="2"/>
        </w:numPr>
        <w:spacing w:after="60"/>
      </w:pPr>
      <w:r>
        <w:rPr>
          <w:rFonts w:ascii="Arial" w:cs="Arial" w:eastAsia="Arial" w:hAnsi="Arial"/>
          <w:color w:val="2C3E50"/>
          <w:sz w:val="22"/>
          <w:szCs w:val="22"/>
        </w:rPr>
        <w:t xml:space="preserve">Single-region deployment in V1</w:t>
      </w:r>
    </w:p>
    <w:p>
      <w:pPr>
        <w:pStyle w:val="Heading2"/>
      </w:pPr>
      <w:r>
        <w:t xml:space="preserve">System-Wide Conventions</w:t>
      </w:r>
    </w:p>
    <w:p>
      <w:pPr>
        <w:pStyle w:val="ListParagraph"/>
        <w:numPr>
          <w:ilvl w:val="0"/>
          <w:numId w:val="2"/>
        </w:numPr>
        <w:spacing w:after="60"/>
      </w:pPr>
      <w:r>
        <w:rPr>
          <w:rFonts w:ascii="Arial" w:cs="Arial" w:eastAsia="Arial" w:hAnsi="Arial"/>
          <w:color w:val="2C3E50"/>
          <w:sz w:val="22"/>
          <w:szCs w:val="22"/>
        </w:rPr>
        <w:t xml:space="preserve">UUID v4 for all primary keys — no auto-increment integers exposed externally</w:t>
      </w:r>
    </w:p>
    <w:p>
      <w:pPr>
        <w:pStyle w:val="ListParagraph"/>
        <w:numPr>
          <w:ilvl w:val="0"/>
          <w:numId w:val="2"/>
        </w:numPr>
        <w:spacing w:after="60"/>
      </w:pPr>
      <w:r>
        <w:rPr>
          <w:rFonts w:ascii="Arial" w:cs="Arial" w:eastAsia="Arial" w:hAnsi="Arial"/>
          <w:color w:val="2C3E50"/>
          <w:sz w:val="22"/>
          <w:szCs w:val="22"/>
        </w:rPr>
        <w:t xml:space="preserve">Audit fields on every table: created_at, updated_at, created_by, updated_by</w:t>
      </w:r>
    </w:p>
    <w:p>
      <w:pPr>
        <w:pStyle w:val="ListParagraph"/>
        <w:numPr>
          <w:ilvl w:val="0"/>
          <w:numId w:val="2"/>
        </w:numPr>
        <w:spacing w:after="60"/>
      </w:pPr>
      <w:r>
        <w:rPr>
          <w:rFonts w:ascii="Arial" w:cs="Arial" w:eastAsia="Arial" w:hAnsi="Arial"/>
          <w:color w:val="2C3E50"/>
          <w:sz w:val="22"/>
          <w:szCs w:val="22"/>
        </w:rPr>
        <w:t xml:space="preserve">Soft deletes everywhere: deleted_at + deleted_by fields; no hard deletes on user-facing entities</w:t>
      </w:r>
    </w:p>
    <w:p>
      <w:pPr>
        <w:pStyle w:val="ListParagraph"/>
        <w:numPr>
          <w:ilvl w:val="0"/>
          <w:numId w:val="2"/>
        </w:numPr>
        <w:spacing w:after="60"/>
      </w:pPr>
      <w:r>
        <w:rPr>
          <w:rFonts w:ascii="Arial" w:cs="Arial" w:eastAsia="Arial" w:hAnsi="Arial"/>
          <w:color w:val="2C3E50"/>
          <w:sz w:val="22"/>
          <w:szCs w:val="22"/>
        </w:rPr>
        <w:t xml:space="preserve">All enums defined as PostgreSQL ENUM types, mirrored in TypeScript with SCREAMING_SNAKE_CASE</w:t>
      </w:r>
    </w:p>
    <w:p>
      <w:pPr>
        <w:pStyle w:val="ListParagraph"/>
        <w:numPr>
          <w:ilvl w:val="0"/>
          <w:numId w:val="2"/>
        </w:numPr>
        <w:spacing w:after="60"/>
      </w:pPr>
      <w:r>
        <w:rPr>
          <w:rFonts w:ascii="Arial" w:cs="Arial" w:eastAsia="Arial" w:hAnsi="Arial"/>
          <w:color w:val="2C3E50"/>
          <w:sz w:val="22"/>
          <w:szCs w:val="22"/>
        </w:rPr>
        <w:t xml:space="preserve">Multi-tenancy enforced at ORM level via FirmScopedRepository base class</w:t>
      </w:r>
    </w:p>
    <w:p>
      <w:pPr>
        <w:spacing w:after="200"/>
      </w:pPr>
    </w:p>
    <w:p>
      <w:pPr>
        <w:pStyle w:val="Heading1"/>
      </w:pPr>
      <w:r>
        <w:t xml:space="preserve">13  Go-to-Market Notes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Primary Target</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Mid-size firms (5–30 staff). Large enough to have coordination pain, small enough to move fast.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Secondary</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Solo/small (1–5) as simpler SKU. Large firms (50–100) as enterprise tier with custom onboarding.</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Pricing Signal</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₹600–800/user/month. Positioned above Jamku (₹200) to signal a different product category.</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Entry Hook</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 compliance calendar tool. Value on day one without committing to platform migration.</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bCs/>
                <w:color w:val="2C3E50"/>
                <w:sz w:val="20"/>
                <w:szCs w:val="20"/>
              </w:rPr>
              <w:t xml:space="preserve">Moat</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Every engagement, client history, and document stored increases switching cost.</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bCs/>
                <w:color w:val="2C3E50"/>
                <w:sz w:val="20"/>
                <w:szCs w:val="20"/>
              </w:rPr>
              <w:t xml:space="preserve">Sales Motion</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Bottom-up: Articles and Juniors adopt first. Partner buys once they see the visibility it provides.</w:t>
            </w:r>
          </w:p>
        </w:tc>
      </w:tr>
    </w:tbl>
    <w:p>
      <w:pPr>
        <w:spacing w:after="200"/>
      </w:pPr>
    </w:p>
    <w:p>
      <w:pPr>
        <w:pStyle w:val="Heading1"/>
      </w:pPr>
      <w:r>
        <w:t xml:space="preserve">14  Open Questions for Validation</w:t>
      </w:r>
    </w:p>
    <w:p>
      <w:pPr>
        <w:spacing w:after="120"/>
      </w:pPr>
      <w:r>
        <w:rPr>
          <w:rFonts w:ascii="Arial" w:cs="Arial" w:eastAsia="Arial" w:hAnsi="Arial"/>
          <w:color w:val="2C3E50"/>
          <w:sz w:val="22"/>
          <w:szCs w:val="22"/>
        </w:rPr>
        <w:t xml:space="preserve">These should be answered via user interviews before V1 design begins:</w:t>
      </w:r>
    </w:p>
    <w:p>
      <w:pPr>
        <w:pStyle w:val="ListParagraph"/>
        <w:numPr>
          <w:ilvl w:val="0"/>
          <w:numId w:val="2"/>
        </w:numPr>
        <w:spacing w:after="60"/>
      </w:pPr>
      <w:r>
        <w:rPr>
          <w:rFonts w:ascii="Arial" w:cs="Arial" w:eastAsia="Arial" w:hAnsi="Arial"/>
          <w:color w:val="2C3E50"/>
          <w:sz w:val="22"/>
          <w:szCs w:val="22"/>
        </w:rPr>
        <w:t xml:space="preserve">Do Partners currently approve via DSC, physical signature, or verbal sign-off? This determines how the approval queue works technically.</w:t>
      </w:r>
    </w:p>
    <w:p>
      <w:pPr>
        <w:pStyle w:val="ListParagraph"/>
        <w:numPr>
          <w:ilvl w:val="0"/>
          <w:numId w:val="2"/>
        </w:numPr>
        <w:spacing w:after="60"/>
      </w:pPr>
      <w:r>
        <w:rPr>
          <w:rFonts w:ascii="Arial" w:cs="Arial" w:eastAsia="Arial" w:hAnsi="Arial"/>
          <w:color w:val="2C3E50"/>
          <w:sz w:val="22"/>
          <w:szCs w:val="22"/>
        </w:rPr>
        <w:t xml:space="preserve">How sensitive are firms about storing client credentials on a cloud platform? May require on-premise or hybrid option for larger firms.</w:t>
      </w:r>
    </w:p>
    <w:p>
      <w:pPr>
        <w:pStyle w:val="ListParagraph"/>
        <w:numPr>
          <w:ilvl w:val="0"/>
          <w:numId w:val="2"/>
        </w:numPr>
        <w:spacing w:after="60"/>
      </w:pPr>
      <w:r>
        <w:rPr>
          <w:rFonts w:ascii="Arial" w:cs="Arial" w:eastAsia="Arial" w:hAnsi="Arial"/>
          <w:color w:val="2C3E50"/>
          <w:sz w:val="22"/>
          <w:szCs w:val="22"/>
        </w:rPr>
        <w:t xml:space="preserve">Do Articles have their own laptops and systems, or are they sharing? Affects mobile-first vs desktop-first priority.</w:t>
      </w:r>
    </w:p>
    <w:p>
      <w:pPr>
        <w:pStyle w:val="ListParagraph"/>
        <w:numPr>
          <w:ilvl w:val="0"/>
          <w:numId w:val="2"/>
        </w:numPr>
        <w:spacing w:after="60"/>
      </w:pPr>
      <w:r>
        <w:rPr>
          <w:rFonts w:ascii="Arial" w:cs="Arial" w:eastAsia="Arial" w:hAnsi="Arial"/>
          <w:color w:val="2C3E50"/>
          <w:sz w:val="22"/>
          <w:szCs w:val="22"/>
        </w:rPr>
        <w:t xml:space="preserve">Is the compliance calendar a genuine pain point for experienced CAs, or only for junior staff? Affects where we spend design effort.</w:t>
      </w:r>
    </w:p>
    <w:p>
      <w:pPr>
        <w:pStyle w:val="ListParagraph"/>
        <w:numPr>
          <w:ilvl w:val="0"/>
          <w:numId w:val="2"/>
        </w:numPr>
        <w:spacing w:after="60"/>
      </w:pPr>
      <w:r>
        <w:rPr>
          <w:rFonts w:ascii="Arial" w:cs="Arial" w:eastAsia="Arial" w:hAnsi="Arial"/>
          <w:color w:val="2C3E50"/>
          <w:sz w:val="22"/>
          <w:szCs w:val="22"/>
        </w:rPr>
        <w:t xml:space="preserve">What is the actual switching cost perception — will firms migrate client history or start fresh? Affects onboarding design.</w:t>
      </w:r>
    </w:p>
    <w:p>
      <w:pPr>
        <w:spacing w:after="200"/>
      </w:pPr>
    </w:p>
    <w:p>
      <w:pPr>
        <w:pStyle w:val="Heading1"/>
      </w:pPr>
      <w:r>
        <w:t xml:space="preserve">15  Next Steps</w:t>
      </w:r>
    </w:p>
    <w:p>
      <w:pPr>
        <w:pStyle w:val="ListParagraph"/>
        <w:numPr>
          <w:ilvl w:val="0"/>
          <w:numId w:val="3"/>
        </w:numPr>
        <w:spacing w:after="60"/>
      </w:pPr>
      <w:r>
        <w:rPr>
          <w:rFonts w:ascii="Arial" w:cs="Arial" w:eastAsia="Arial" w:hAnsi="Arial"/>
          <w:color w:val="2C3E50"/>
          <w:sz w:val="22"/>
          <w:szCs w:val="22"/>
        </w:rPr>
        <w:t xml:space="preserve">Conduct 4 validation interviews (Partner, Manager, Junior CA, Article)</w:t>
      </w:r>
    </w:p>
    <w:p>
      <w:pPr>
        <w:pStyle w:val="ListParagraph"/>
        <w:numPr>
          <w:ilvl w:val="0"/>
          <w:numId w:val="3"/>
        </w:numPr>
        <w:spacing w:after="60"/>
      </w:pPr>
      <w:r>
        <w:rPr>
          <w:rFonts w:ascii="Arial" w:cs="Arial" w:eastAsia="Arial" w:hAnsi="Arial"/>
          <w:color w:val="2C3E50"/>
          <w:sz w:val="22"/>
          <w:szCs w:val="22"/>
        </w:rPr>
        <w:t xml:space="preserve">Prioritise features within V1 by interview findings</w:t>
      </w:r>
    </w:p>
    <w:p>
      <w:pPr>
        <w:pStyle w:val="ListParagraph"/>
        <w:numPr>
          <w:ilvl w:val="0"/>
          <w:numId w:val="3"/>
        </w:numPr>
        <w:spacing w:after="60"/>
      </w:pPr>
      <w:r>
        <w:rPr>
          <w:rFonts w:ascii="Arial" w:cs="Arial" w:eastAsia="Arial" w:hAnsi="Arial"/>
          <w:color w:val="2C3E50"/>
          <w:sz w:val="22"/>
          <w:szCs w:val="22"/>
        </w:rPr>
        <w:t xml:space="preserve">Begin wireframing Module 1 (Task Tracking) + Module 3 (Client Master)</w:t>
      </w:r>
    </w:p>
    <w:p>
      <w:pPr>
        <w:pStyle w:val="ListParagraph"/>
        <w:numPr>
          <w:ilvl w:val="0"/>
          <w:numId w:val="3"/>
        </w:numPr>
        <w:spacing w:after="60"/>
      </w:pPr>
      <w:r>
        <w:rPr>
          <w:rFonts w:ascii="Arial" w:cs="Arial" w:eastAsia="Arial" w:hAnsi="Arial"/>
          <w:color w:val="2C3E50"/>
          <w:sz w:val="22"/>
          <w:szCs w:val="22"/>
        </w:rPr>
        <w:t xml:space="preserve">Compliance calendar auto-generation as the technical spike for V1</w:t>
      </w:r>
    </w:p>
    <w:p>
      <w:pPr>
        <w:pStyle w:val="ListParagraph"/>
        <w:numPr>
          <w:ilvl w:val="0"/>
          <w:numId w:val="3"/>
        </w:numPr>
        <w:spacing w:after="60"/>
      </w:pPr>
      <w:r>
        <w:rPr>
          <w:rFonts w:ascii="Arial" w:cs="Arial" w:eastAsia="Arial" w:hAnsi="Arial"/>
          <w:color w:val="2C3E50"/>
          <w:sz w:val="22"/>
          <w:szCs w:val="22"/>
        </w:rPr>
        <w:t xml:space="preserve">Finalise email notification templates and delivery provider selection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color w:val="5D6D7E"/>
        <w:sz w:val="16"/>
        <w:szCs w:val="16"/>
      </w:rPr>
      <w:t xml:space="preserve">Confidential</w:t>
    </w:r>
    <w:r>
      <w:t xml:space="preserve">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5D6D7E"/>
        <w:sz w:val="18"/>
        <w:szCs w:val="18"/>
      </w:rPr>
      <w:t xml:space="preserve">CA Practice OS — V1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2026-03-23T18:46:49.253Z</dcterms:created>
  <dcterms:modified xsi:type="dcterms:W3CDTF">2026-03-23T18:46:49.253Z</dcterms:modified>
</cp:coreProperties>
</file>

<file path=docProps/custom.xml><?xml version="1.0" encoding="utf-8"?>
<Properties xmlns="http://schemas.openxmlformats.org/officeDocument/2006/custom-properties" xmlns:vt="http://schemas.openxmlformats.org/officeDocument/2006/docPropsVTypes"/>
</file>