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8"/>
          <w:lang w:val="ru-RU" w:eastAsia="ru-RU"/>
        </w:rPr>
        <w:t xml:space="preserve">НАЦІОНАЛЬНИЙ ТЕХНІЧНИЙ УНІВЕРСИТЕТ УКРАЇНИ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70757A"/>
          <w:sz w:val="24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8"/>
          <w:lang w:val="ru-RU" w:eastAsia="ru-RU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b/>
          <w:bCs/>
          <w:color w:val="70757A"/>
          <w:sz w:val="24"/>
          <w:szCs w:val="28"/>
          <w:shd w:val="clear" w:fill="FFFFFF" w:color="auto"/>
          <w:lang w:val="ru-RU" w:eastAsia="ru-RU"/>
        </w:rPr>
        <w:t xml:space="preserve">»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Інститут прикладного системного аналізу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Кафедра системного проектування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 </w:t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ЗВІТ</w:t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виконання лабораторної роботи №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2</w:t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дисципліни 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z w:val="28"/>
          <w:szCs w:val="28"/>
          <w:lang w:val="ru-RU" w:eastAsia="ru-RU"/>
        </w:rPr>
        <w:t xml:space="preserve">Еколого-економічна організація виробництва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/>
    </w:p>
    <w:p>
      <w:pPr>
        <w:ind w:right="20"/>
        <w:jc w:val="center"/>
        <w:spacing w:lineRule="auto" w:line="360"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Кластерний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аналіз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оціально-економічних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індикатор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ів,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що впливають на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рів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ень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доходів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населення у регіонах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 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/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</w:t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тудент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4 курсу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групи ДА-82</w:t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Муравльов Андрій</w:t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             </w:t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Київ — 2021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Метою </w:t>
      </w: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  <w:t xml:space="preserve">кластерного аналізу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розділення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об’єктів на відносно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однорідні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групи,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судячи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індикаторів, що їх характеризують. Такі 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б’єкти в груп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є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відносно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схожими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 відносно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різняться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ід об’єктів у інших групах. 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Наведемо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таблицю з вхідними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параметрами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(рис. 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Згідн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 даних Держкомстату України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наведені значен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ня регіональних індикаторів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р. Серед них: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рівень доходів населення у регіонах України (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РД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), заробітн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плат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(ЗП), прибуток та змішаний дохід (ПЗД), дохо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ди від власності (ДВ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), трансферт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(соціальн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(СД) та соціальн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трансферт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 натурі (СТН))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млн. грн.</w:t>
      </w:r>
      <w:r/>
    </w:p>
    <w:p>
      <w:pPr>
        <w:jc w:val="center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8571" cy="5133333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28571" cy="5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1.7pt;height:404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Rule="auto" w:line="312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/>
          <w:sz w:val="28"/>
          <w:szCs w:val="28"/>
        </w:rPr>
        <w:t xml:space="preserve">показників</w:t>
      </w:r>
      <w:r>
        <w:rPr>
          <w:rFonts w:ascii="Times New Roman" w:hAnsi="Times New Roman" w:cs="Times New Roman"/>
          <w:sz w:val="28"/>
          <w:szCs w:val="28"/>
        </w:rPr>
        <w:t xml:space="preserve"> за 20</w:t>
      </w:r>
      <w:r>
        <w:rPr>
          <w:rFonts w:ascii="Times New Roman" w:hAnsi="Times New Roman" w:cs="Times New Roman"/>
          <w:sz w:val="28"/>
          <w:szCs w:val="28"/>
        </w:rPr>
        <w:t xml:space="preserve">16</w:t>
      </w:r>
      <w:r>
        <w:rPr>
          <w:rFonts w:ascii="Times New Roman" w:hAnsi="Times New Roman" w:cs="Times New Roman"/>
          <w:sz w:val="28"/>
          <w:szCs w:val="28"/>
        </w:rPr>
        <w:t xml:space="preserve"> рік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У роботі необхідним є дослідження методичних особливостей кластерного аналізу, зокрема,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чи впливає використання того чи іншого методу та процедура нормування на структуру кластерного розподілу регіонів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вибраними індикаторами. </w:t>
      </w:r>
      <w:r>
        <w:rPr>
          <w:rFonts w:ascii="Times New Roman" w:hAnsi="Times New Roman" w:cs="Times New Roman"/>
          <w:sz w:val="28"/>
          <w:szCs w:val="28"/>
        </w:rPr>
        <w:t xml:space="preserve">Виберемо п’ять методів кластерного аналіз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із застосуванням процедури нормування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ближнього сусіда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ближнього сусіда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із застосуванням процедури нормування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Метод Уорда із застосуванням процедури нормування.</w:t>
      </w:r>
      <w:r/>
    </w:p>
    <w:p>
      <w:pPr>
        <w:jc w:val="center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Короткий опис методів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</w:t>
      </w:r>
      <w:r>
        <w:rPr>
          <w:rFonts w:ascii="Times New Roman" w:hAnsi="Times New Roman" w:cs="Times New Roman"/>
          <w:sz w:val="28"/>
          <w:szCs w:val="28"/>
        </w:rPr>
        <w:t xml:space="preserve">єрархічн</w:t>
      </w:r>
      <w:r>
        <w:rPr>
          <w:rFonts w:ascii="Times New Roman" w:hAnsi="Times New Roman" w:cs="Times New Roman"/>
          <w:sz w:val="28"/>
          <w:szCs w:val="28"/>
        </w:rPr>
        <w:t xml:space="preserve"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методи</w:t>
      </w:r>
      <w:r>
        <w:rPr>
          <w:rFonts w:ascii="Times New Roman" w:hAnsi="Times New Roman" w:cs="Times New Roman"/>
          <w:sz w:val="28"/>
          <w:szCs w:val="28"/>
        </w:rPr>
        <w:t xml:space="preserve"> дозволя</w:t>
      </w:r>
      <w:r>
        <w:rPr>
          <w:rFonts w:ascii="Times New Roman" w:hAnsi="Times New Roman" w:cs="Times New Roman"/>
          <w:sz w:val="28"/>
          <w:szCs w:val="28"/>
        </w:rPr>
        <w:t xml:space="preserve">ють</w:t>
      </w:r>
      <w:r>
        <w:rPr>
          <w:rFonts w:ascii="Times New Roman" w:hAnsi="Times New Roman" w:cs="Times New Roman"/>
          <w:sz w:val="28"/>
          <w:szCs w:val="28"/>
        </w:rPr>
        <w:t xml:space="preserve"> поєднувати елементи на базі понять </w:t>
      </w:r>
      <w:r>
        <w:rPr>
          <w:rFonts w:ascii="Times New Roman" w:hAnsi="Times New Roman" w:cs="Times New Roman"/>
          <w:sz w:val="28"/>
          <w:szCs w:val="28"/>
        </w:rPr>
        <w:t xml:space="preserve">відстані чи подібності між то</w:t>
      </w:r>
      <w:r>
        <w:rPr>
          <w:rFonts w:ascii="Times New Roman" w:hAnsi="Times New Roman" w:cs="Times New Roman"/>
          <w:sz w:val="28"/>
          <w:szCs w:val="28"/>
        </w:rPr>
        <w:t xml:space="preserve">чками в багатомірному просторі </w:t>
      </w:r>
      <w:r>
        <w:rPr>
          <w:rFonts w:ascii="Times New Roman" w:hAnsi="Times New Roman" w:cs="Times New Roman"/>
          <w:sz w:val="28"/>
          <w:szCs w:val="28"/>
        </w:rPr>
        <w:t xml:space="preserve">ознак. Результатом такої розбивки є дендрогр</w:t>
      </w:r>
      <w:r>
        <w:rPr>
          <w:rFonts w:ascii="Times New Roman" w:hAnsi="Times New Roman" w:cs="Times New Roman"/>
          <w:sz w:val="28"/>
          <w:szCs w:val="28"/>
        </w:rPr>
        <w:t xml:space="preserve">ама, що показує етапи об’єднання об’єктів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групи за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характеристиками.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Опишемо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К</w:t>
      </w:r>
      <w:r>
        <w:rPr>
          <w:rFonts w:ascii="Times New Roman" w:hAnsi="Times New Roman" w:cs="Times New Roman"/>
          <w:i/>
          <w:sz w:val="28"/>
          <w:szCs w:val="28"/>
        </w:rPr>
        <w:t xml:space="preserve">ластерний центроїд</w:t>
      </w:r>
      <w:r>
        <w:rPr>
          <w:rFonts w:ascii="Times New Roman" w:hAnsi="Times New Roman" w:cs="Times New Roman"/>
          <w:sz w:val="28"/>
          <w:szCs w:val="28"/>
        </w:rPr>
        <w:t xml:space="preserve"> – середнє значе</w:t>
      </w:r>
      <w:r>
        <w:rPr>
          <w:rFonts w:ascii="Times New Roman" w:hAnsi="Times New Roman" w:cs="Times New Roman"/>
          <w:sz w:val="28"/>
          <w:szCs w:val="28"/>
        </w:rPr>
        <w:t xml:space="preserve">ння змінних для всіх об’єктів у </w:t>
      </w:r>
      <w:r>
        <w:rPr>
          <w:rFonts w:ascii="Times New Roman" w:hAnsi="Times New Roman" w:cs="Times New Roman"/>
          <w:sz w:val="28"/>
          <w:szCs w:val="28"/>
        </w:rPr>
        <w:t xml:space="preserve">конкретному кластері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Відстань між двома кластерами визначається як </w:t>
      </w:r>
      <w:r>
        <w:rPr>
          <w:rFonts w:ascii="Times New Roman" w:hAnsi="Times New Roman" w:cs="Times New Roman"/>
          <w:sz w:val="28"/>
          <w:szCs w:val="28"/>
        </w:rPr>
        <w:t xml:space="preserve">евклідова відстань між центрами</w:t>
      </w:r>
      <w:r>
        <w:rPr>
          <w:rFonts w:ascii="Times New Roman" w:hAnsi="Times New Roman" w:cs="Times New Roman"/>
          <w:sz w:val="28"/>
          <w:szCs w:val="28"/>
        </w:rPr>
        <w:t xml:space="preserve"> цих кластерів. Кластеризація йде поетапно, на кожному з n-1 кроків об'єднують два кластери. Якщо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більше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, то центри об'єднання двох кластерів близькі один до одного і характеристики другого кластера при об'єднанні кластерів практично ігноруються. Іноді цей метод називають методом зважених груп.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ближнього сусіда. </w:t>
      </w:r>
      <w:r>
        <w:rPr>
          <w:rFonts w:ascii="Times New Roman" w:hAnsi="Times New Roman" w:cs="Times New Roman"/>
          <w:sz w:val="28"/>
          <w:szCs w:val="28"/>
        </w:rPr>
        <w:t xml:space="preserve">Тут д</w:t>
      </w:r>
      <w:r>
        <w:rPr>
          <w:rFonts w:ascii="Times New Roman" w:hAnsi="Times New Roman" w:cs="Times New Roman"/>
          <w:sz w:val="28"/>
          <w:szCs w:val="28"/>
        </w:rPr>
        <w:t xml:space="preserve">ва об'єкти, які належать од</w:t>
      </w:r>
      <w:r>
        <w:rPr>
          <w:rFonts w:ascii="Times New Roman" w:hAnsi="Times New Roman" w:cs="Times New Roman"/>
          <w:sz w:val="28"/>
          <w:szCs w:val="28"/>
        </w:rPr>
        <w:t xml:space="preserve">ній і тій самій групі</w:t>
      </w:r>
      <w:r>
        <w:rPr>
          <w:rFonts w:ascii="Times New Roman" w:hAnsi="Times New Roman" w:cs="Times New Roman"/>
          <w:sz w:val="28"/>
          <w:szCs w:val="28"/>
        </w:rPr>
        <w:t xml:space="preserve">, мають коефіцієнт подібності, який менше деякого поро</w:t>
      </w:r>
      <w:r>
        <w:rPr>
          <w:rFonts w:ascii="Times New Roman" w:hAnsi="Times New Roman" w:cs="Times New Roman"/>
          <w:sz w:val="28"/>
          <w:szCs w:val="28"/>
        </w:rPr>
        <w:t xml:space="preserve">гового значення S. В термінах евклідової відстані d це означає, що відстань між двома точками (об'єктами) кластеру не повинна перевищувати деякого порогового значення h. Таким чином, h визначає максимально допустимий діаметр підмножини, що утворює кластер.</w:t>
      </w:r>
      <w:r/>
    </w:p>
    <w:p>
      <w:pPr>
        <w:ind w:firstLine="567"/>
        <w:jc w:val="both"/>
        <w:spacing w:lineRule="auto" w:line="312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етод Уорда.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якості цільової функції застосовують внутрішньогрупову</w:t>
      </w:r>
      <w:r>
        <w:rPr>
          <w:rFonts w:ascii="Times New Roman" w:hAnsi="Times New Roman" w:cs="Times New Roman"/>
          <w:sz w:val="28"/>
          <w:szCs w:val="28"/>
        </w:rPr>
        <w:t xml:space="preserve"> суму квадратів відхилень, що є</w:t>
      </w:r>
      <w:r>
        <w:rPr>
          <w:rFonts w:ascii="Times New Roman" w:hAnsi="Times New Roman" w:cs="Times New Roman"/>
          <w:sz w:val="28"/>
          <w:szCs w:val="28"/>
        </w:rPr>
        <w:t xml:space="preserve"> сум</w:t>
      </w:r>
      <w:r>
        <w:rPr>
          <w:rFonts w:ascii="Times New Roman" w:hAnsi="Times New Roman" w:cs="Times New Roman"/>
          <w:sz w:val="28"/>
          <w:szCs w:val="28"/>
        </w:rPr>
        <w:t xml:space="preserve">ою</w:t>
      </w:r>
      <w:r>
        <w:rPr>
          <w:rFonts w:ascii="Times New Roman" w:hAnsi="Times New Roman" w:cs="Times New Roman"/>
          <w:sz w:val="28"/>
          <w:szCs w:val="28"/>
        </w:rPr>
        <w:t xml:space="preserve"> квадратів відстаней між кожною точкою (об'єктом) і середньо</w:t>
      </w:r>
      <w:r>
        <w:rPr>
          <w:rFonts w:ascii="Times New Roman" w:hAnsi="Times New Roman" w:cs="Times New Roman"/>
          <w:sz w:val="28"/>
          <w:szCs w:val="28"/>
        </w:rPr>
        <w:t xml:space="preserve">ю по кластеру, який містить цей об'єкт. На кожному кроці об'єднуються такі два кластери, які призводять до мінімального збільшення цільової функції, тобто внутрішньогрупової суми квадратів. Цей метод направлений на об'єднання близько розташованих кластерів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</w:t>
      </w:r>
      <w:r>
        <w:rPr>
          <w:rFonts w:ascii="Times New Roman" w:hAnsi="Times New Roman" w:cs="Times New Roman"/>
          <w:sz w:val="28"/>
          <w:szCs w:val="28"/>
        </w:rPr>
        <w:t xml:space="preserve">івняння методів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Перевагою ієрархічних методів кластеризації порівняно з неієрархічними методами є їх наочність і можливість одержати детальне подання структури даних. Використовуючи ієрархічні методи, можливо доволі легко ідентифікувати викиди в наборі даних й, у резу</w:t>
      </w:r>
      <w:r>
        <w:rPr>
          <w:rFonts w:ascii="Times New Roman" w:hAnsi="Times New Roman" w:cs="Times New Roman"/>
          <w:sz w:val="28"/>
          <w:szCs w:val="28"/>
        </w:rPr>
        <w:t xml:space="preserve">льтаті, підвищити якість даних.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Однак, використання ієрархічних методів супроводжується н</w:t>
      </w:r>
      <w:r>
        <w:rPr>
          <w:rFonts w:ascii="Times New Roman" w:hAnsi="Times New Roman" w:cs="Times New Roman"/>
          <w:sz w:val="28"/>
          <w:szCs w:val="28"/>
        </w:rPr>
        <w:t xml:space="preserve">аступними недоліками, зокрема: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613"/>
        <w:numPr>
          <w:ilvl w:val="0"/>
          <w:numId w:val="5"/>
        </w:numPr>
        <w:ind w:left="142" w:firstLine="284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обмеженням обсягу набору даних; </w:t>
      </w:r>
      <w:r/>
    </w:p>
    <w:p>
      <w:pPr>
        <w:pStyle w:val="613"/>
        <w:numPr>
          <w:ilvl w:val="0"/>
          <w:numId w:val="5"/>
        </w:numPr>
        <w:ind w:left="142" w:firstLine="284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обмеженням вибору міри близькості; </w:t>
      </w:r>
      <w:r/>
    </w:p>
    <w:p>
      <w:pPr>
        <w:pStyle w:val="613"/>
        <w:numPr>
          <w:ilvl w:val="0"/>
          <w:numId w:val="5"/>
        </w:numPr>
        <w:ind w:left="142" w:firstLine="284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негнучкості </w:t>
      </w:r>
      <w:r>
        <w:rPr>
          <w:rFonts w:ascii="Times New Roman" w:hAnsi="Times New Roman" w:cs="Times New Roman"/>
          <w:sz w:val="28"/>
          <w:szCs w:val="28"/>
        </w:rPr>
        <w:t xml:space="preserve">отриманих класифікацій об’єктів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детальніше порівняльну характеристику обраних методів (табл. 1).</w:t>
      </w:r>
      <w:r/>
    </w:p>
    <w:p>
      <w:pPr>
        <w:spacing w:lineRule="auto" w:line="312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1. Таб</w:t>
      </w:r>
      <w:r>
        <w:rPr>
          <w:rFonts w:ascii="Times New Roman" w:hAnsi="Times New Roman" w:cs="Times New Roman"/>
          <w:sz w:val="28"/>
          <w:szCs w:val="28"/>
        </w:rPr>
        <w:t xml:space="preserve">лиця порівняння методів</w:t>
      </w:r>
      <w:r/>
    </w:p>
    <w:tbl>
      <w:tblPr>
        <w:tblStyle w:val="614"/>
        <w:tblW w:w="11058" w:type="dxa"/>
        <w:tblInd w:w="-431" w:type="dxa"/>
        <w:tblLook w:val="04A0" w:firstRow="1" w:lastRow="0" w:firstColumn="1" w:lastColumn="0" w:noHBand="0" w:noVBand="1"/>
      </w:tblPr>
      <w:tblGrid>
        <w:gridCol w:w="1716"/>
        <w:gridCol w:w="3955"/>
        <w:gridCol w:w="5387"/>
      </w:tblGrid>
      <w:tr>
        <w:trPr/>
        <w:tc>
          <w:tcPr>
            <w:tcW w:w="1716" w:type="dxa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</w:t>
            </w:r>
            <w:r/>
          </w:p>
        </w:tc>
        <w:tc>
          <w:tcPr>
            <w:tcW w:w="3955" w:type="dxa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Переваги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Недоліки</w:t>
            </w:r>
            <w:r/>
          </w:p>
        </w:tc>
      </w:tr>
      <w:tr>
        <w:trPr/>
        <w:tc>
          <w:tcPr>
            <w:tcW w:w="171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центроїдної класифікації</w:t>
            </w:r>
            <w:r/>
          </w:p>
        </w:tc>
        <w:tc>
          <w:tcPr>
            <w:tcW w:w="3955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використання результатів.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Рішення не є уніка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льними для конкретної ситуації.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гарантовано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вірне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рішення, але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найкраще з можливих</w:t>
            </w:r>
            <w:r/>
          </w:p>
        </w:tc>
        <w:tc>
          <w:tcPr>
            <w:tcW w:w="5387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исока залежність результатів класифікації від обраної метрики.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бчислювальна трудомісткість.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Тільки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невеликої розмірності.</w:t>
            </w:r>
            <w:r/>
          </w:p>
        </w:tc>
      </w:tr>
      <w:tr>
        <w:trPr/>
        <w:tc>
          <w:tcPr>
            <w:tcW w:w="171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Ближнього сусіда</w:t>
            </w:r>
            <w:r/>
          </w:p>
        </w:tc>
        <w:tc>
          <w:tcPr>
            <w:tcW w:w="3955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використання одержаних результатів.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Рішення не є унікальними для конкретної ситуації, можливе їх використання для інших випадків.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Метою пошуку є не гарантовано вірне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рішення, а найкраще з можливих</w:t>
            </w:r>
            <w:r/>
          </w:p>
        </w:tc>
        <w:tc>
          <w:tcPr>
            <w:tcW w:w="5387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виборі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ґрунтуються на всьому масиві доступних даних, тому неможливо сказати, на якій основі будуються відповіді.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Існує складність вибору міри "близькості" (метрики).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висока залежність результатів класифікації від обраної метрики.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авдання даного методу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невеликої розмірності.</w:t>
            </w:r>
            <w:r/>
          </w:p>
        </w:tc>
      </w:tr>
      <w:tr>
        <w:trPr/>
        <w:tc>
          <w:tcPr>
            <w:tcW w:w="171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Уорда</w:t>
            </w:r>
            <w:r/>
          </w:p>
        </w:tc>
        <w:tc>
          <w:tcPr>
            <w:tcW w:w="3955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Дозволяє отримати 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пактні добре виражені кластери,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обре працює з група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 подібних розмірів, ефективно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виділяє структуру, «п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риховану» випадковою мінливістю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</w:t>
            </w:r>
            <w:r/>
          </w:p>
        </w:tc>
        <w:tc>
          <w:tcPr>
            <w:tcW w:w="5387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Обмеження обсягу набору даних;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негнучк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отриманих класифікацій об’єктів.</w:t>
            </w:r>
            <w:r/>
          </w:p>
        </w:tc>
      </w:tr>
    </w:tbl>
    <w:p>
      <w:pPr>
        <w:jc w:val="center"/>
        <w:spacing w:lineRule="auto" w:line="312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Опис кроків кластеризації</w:t>
      </w:r>
      <w:r/>
    </w:p>
    <w:p>
      <w:pPr>
        <w:ind w:firstLine="567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w:t xml:space="preserve">Крок 1.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Завантаження даних.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 наведено дані для кластеризації.</w:t>
      </w:r>
      <w:r/>
    </w:p>
    <w:p>
      <w:pPr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2560" cy="2938145"/>
                <wp:effectExtent l="0" t="0" r="2540" b="0"/>
                <wp:docPr id="2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512560" cy="293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2.8pt;height:231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 1.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Завантажені дані для кластеризації програмою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SPSS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w:t xml:space="preserve">Крок 2.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Формування набору даних для кластеризації.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 метою підготовки даних до кластерізації необхідно в поле "Метить наблюдения значениями:" перенести з лівого списку пункт "Регіон", а в список "Переменные" –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всі інші фактори (рис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). 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6346" cy="2698750"/>
                <wp:effectExtent l="0" t="0" r="635" b="6350"/>
                <wp:docPr id="3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10847" cy="2721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1.0pt;height:212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2. Підготовка даних до кластеризації програмою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SPSS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Після вибору методу та кількості кластерів отримаємо вікно виводу результатів кластеризації (рис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).</w: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0300" cy="2234565"/>
                <wp:effectExtent l="0" t="0" r="6350" b="0"/>
                <wp:docPr id="4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26539" b="0"/>
                        <a:stretch/>
                      </pic:blipFill>
                      <pic:spPr bwMode="auto">
                        <a:xfrm>
                          <a:off x="0" y="0"/>
                          <a:ext cx="3676175" cy="22381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9.0pt;height:175.9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3.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Вікно виводу результату кластеризації програмою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SPSS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4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представлено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кластеризації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методом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Тут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перший стовпчик відповідає назві об’єкту, в др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угому вказується номер кластеру,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 якого належить об’єкт.</w: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67682" cy="4813300"/>
                <wp:effectExtent l="0" t="0" r="4445" b="6350"/>
                <wp:docPr id="5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93995" cy="488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39.2pt;height:379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4.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кластеризації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наведена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дендрограма кластеризації методом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6450" cy="4496267"/>
                <wp:effectExtent l="0" t="0" r="0" b="0"/>
                <wp:docPr id="6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20413" cy="450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3.5pt;height:354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5.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Дендрограма кластеризації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без нормалізації </w:t>
      </w:r>
      <w:r/>
    </w:p>
    <w:p>
      <w:pPr>
        <w:ind w:firstLine="567"/>
        <w:jc w:val="both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Результати кластерного розподілу регіонів з використання різних методів кластерного аналізу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наведено у таблиці 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jc w:val="both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Таблиця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bookmarkStart w:id="0" w:name="_Hlk50639887"/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Результати кластерного розподілу регіонів </w:t>
      </w:r>
      <w:bookmarkEnd w:id="0"/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різними методами</w:t>
      </w:r>
      <w:r/>
    </w:p>
    <w:tbl>
      <w:tblPr>
        <w:tblStyle w:val="614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2410"/>
        <w:gridCol w:w="1842"/>
        <w:gridCol w:w="2410"/>
      </w:tblGrid>
      <w:tr>
        <w:trPr>
          <w:jc w:val="center"/>
        </w:trPr>
        <w:tc>
          <w:tcPr>
            <w:tcW w:w="12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№ кл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астера</w:t>
            </w:r>
            <w:r/>
          </w:p>
        </w:tc>
        <w:tc>
          <w:tcPr>
            <w:gridSpan w:val="3"/>
            <w:tcW w:w="595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Методи із застосуванням нормалізації</w:t>
            </w:r>
            <w:r/>
          </w:p>
        </w:tc>
        <w:tc>
          <w:tcPr>
            <w:gridSpan w:val="2"/>
            <w:tcW w:w="425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Методи без застосування нормалізації</w:t>
            </w:r>
            <w:r/>
          </w:p>
        </w:tc>
      </w:tr>
      <w:tr>
        <w:trPr>
          <w:jc w:val="center"/>
        </w:trPr>
        <w:tc>
          <w:tcPr>
            <w:tcW w:w="1271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центроїдної класифікації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етод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ближнього сусіда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Уорда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центроїдної класифікації</w:t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ближнього сусіда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1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Вінницька, Запорізька, Київська,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Львівська, Одеська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,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)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Вінницька, Запорізька, Київська, Львівська,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Одеська,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Вінницька, Запорізька, Київська, Полтавська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)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2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)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Дніпропетровська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(16)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(15)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петровська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3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Дніпропетровська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Дніпропетровська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петровська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Донецька, Запорізька, Київська, Львівська, Одеська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4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Луганська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, Одеська, Львівська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5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</w:tr>
    </w:tbl>
    <w:p>
      <w:pPr>
        <w:jc w:val="center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Дані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таблиці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показують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що методи дають різн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 результати. 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сіх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об’єднує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лише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 кластер, до якого завжди входить виключно м.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Київ.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Найбільш схож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(ідентичний)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розподіл за кластерами спостерігається між методами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(з нормалізацією)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 Уорда.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оцедура нормалізації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доволі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впливає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кластерний розподіл: деякі регіони помітно мігрують між кластерами (див.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аблицю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Далі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роботі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для прикладу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буде використа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ний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метод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показано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ластерний розподіл регіонів України за 20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 середні значення показників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jc w:val="center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9524" cy="6114286"/>
                <wp:effectExtent l="0" t="0" r="1270" b="1270"/>
                <wp:docPr id="7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09524" cy="61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8.9pt;height:481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lineRule="auto" w:line="360"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6. К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ластерний розподіл регіонів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Розглянемо детальн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іше рис. 6 та спробуємо знайти закономірності при формуванні кластерів. Перше, що помічається, — особливість 2 кластеру, що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полягає у найменших показниках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серед усіх (див. Середнє значення).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Далі, у 1 кластер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потрапили регіони, що мають показники вище (до того ж, не аномально різні</w:t>
      </w:r>
      <w:bookmarkStart w:id="1" w:name="_GoBack"/>
      <w:r/>
      <w:bookmarkEnd w:id="1"/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). Регіони з аномальн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ими показниками розташувалися у 3-5 кластерах: це Дніпропетровська обл. з порівняно вищими усіма показниками; Донецька обл. з високими доходами, але низькими СТН та ПЗД та м. Київ з дуже високими показниками, що не можуть бути порівняні з іншими регіонами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.</w:t>
      </w:r>
      <w:r/>
    </w:p>
    <w:sectPr>
      <w:footnotePr/>
      <w:endnotePr/>
      <w:type w:val="nextPage"/>
      <w:pgSz w:w="12240" w:h="15840" w:orient="portrait"/>
      <w:pgMar w:top="1134" w:right="850" w:bottom="851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7" w:hanging="380"/>
      </w:pPr>
      <w:rPr>
        <w:rFonts w:cs="Times New Roman"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8"/>
    <w:next w:val="60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  <w:uiPriority w:val="1"/>
    <w:rPr>
      <w:rFonts w:ascii="SimSun" w:hAnsi="SimSun" w:cs="SimSun" w:eastAsia="SimSun"/>
      <w:lang w:val="uk-UA"/>
    </w:rPr>
    <w:pPr>
      <w:spacing w:lineRule="auto" w:line="240" w:after="0"/>
      <w:widowControl w:val="off"/>
    </w:pPr>
  </w:style>
  <w:style w:type="character" w:styleId="609" w:default="1">
    <w:name w:val="Default Paragraph Font"/>
    <w:uiPriority w:val="1"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character" w:styleId="612">
    <w:name w:val="Placeholder Text"/>
    <w:basedOn w:val="609"/>
    <w:uiPriority w:val="99"/>
    <w:semiHidden/>
    <w:rPr>
      <w:color w:val="808080"/>
    </w:rPr>
  </w:style>
  <w:style w:type="paragraph" w:styleId="613">
    <w:name w:val="List Paragraph"/>
    <w:basedOn w:val="608"/>
    <w:qFormat/>
    <w:uiPriority w:val="34"/>
    <w:pPr>
      <w:contextualSpacing w:val="true"/>
      <w:ind w:left="720"/>
    </w:pPr>
  </w:style>
  <w:style w:type="table" w:styleId="614">
    <w:name w:val="Table Grid"/>
    <w:basedOn w:val="61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15">
    <w:name w:val="Hyperlink"/>
    <w:basedOn w:val="609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IASA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468</cp:revision>
  <dcterms:created xsi:type="dcterms:W3CDTF">2021-10-15T17:54:00Z</dcterms:created>
  <dcterms:modified xsi:type="dcterms:W3CDTF">2021-11-29T01:30:47Z</dcterms:modified>
</cp:coreProperties>
</file>