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RAG Embeddings Vector Databases</w:t>
      </w:r>
    </w:p>
    <w:p>
      <w:pPr>
        <w:pStyle w:val="Heading2"/>
      </w:pPr>
      <w:r>
        <w:t>RAG (Retrieval-Augmented Generation)</w:t>
      </w:r>
    </w:p>
    <w:p>
      <w:r>
        <w:rPr>
          <w:sz w:val="22"/>
        </w:rPr>
        <w:t>RAG improves LLM responses by retrieving relevant information before generating an answer.</w:t>
        <w:br/>
        <w:br/>
        <w:t>Flow:</w:t>
        <w:br/>
        <w:t>User Query → Embedding Model → Vector Database → Retrieve Documents → LLM → Final Response</w:t>
        <w:br/>
        <w:br/>
        <w:t>Benefits:</w:t>
        <w:br/>
        <w:t>• More accurate responses</w:t>
        <w:br/>
        <w:t>• Up-to-date information</w:t>
        <w:br/>
        <w:t>• Reduced hallucinations</w:t>
        <w:br/>
        <w:t>• Access to private knowledge bases</w:t>
        <w:br/>
        <w:br/>
        <w:t>Embeddings:</w:t>
        <w:br/>
        <w:t>• Numerical vector representation of text.</w:t>
        <w:br/>
        <w:t>• Similar meaning = vectors close together.</w:t>
        <w:br/>
        <w:br/>
        <w:t>Vector Databases:</w:t>
        <w:br/>
        <w:t>• Store embeddings and perform semantic search.</w:t>
        <w:br/>
        <w:t>• Examples: FAISS, ChromaDB, Pinecone, Milvus, Weaviate.</w:t>
        <w:br/>
        <w:br/>
        <w:t>Common RAG Risks:</w:t>
        <w:br/>
        <w:t>• Prompt Injection</w:t>
        <w:br/>
        <w:t>• Indirect Prompt Injection</w:t>
        <w:br/>
        <w:t>• Sensitive Data Leakage</w:t>
        <w:br/>
        <w:t>• Malicious documents</w:t>
        <w:br/>
        <w:t>• Vector database poisoning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