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r>
        <w:t>Saleha Iqbal Hussain</w:t>
      </w:r>
    </w:p>
    <w:p w:rsidR="003A558E" w:rsidRDefault="003A558E" w:rsidP="003A558E">
      <w:pPr>
        <w:pStyle w:val="Subtitle"/>
      </w:pPr>
      <w:r>
        <w:t>2011CS10252</w:t>
      </w:r>
    </w:p>
    <w:p w:rsidR="003A558E" w:rsidRDefault="003A558E" w:rsidP="003A558E">
      <w:pPr>
        <w:pStyle w:val="Heading1"/>
      </w:pPr>
      <w:r>
        <w:t>Question 3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bookmarkStart w:id="0" w:name="_GoBack"/>
      <w:bookmarkEnd w:id="0"/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t>Very steep learning curve.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Pr="007B13C3" w:rsidRDefault="00376AA4" w:rsidP="00376AA4">
      <w:r>
        <w:t>Highest non-diagonal entry – guns confused for politics.misc</w:t>
      </w:r>
    </w:p>
    <w:p w:rsidR="003A558E" w:rsidRPr="003A558E" w:rsidRDefault="003A558E" w:rsidP="003A558E"/>
    <w:sectPr w:rsidR="003A558E" w:rsidRPr="003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376AA4"/>
    <w:rsid w:val="003A558E"/>
    <w:rsid w:val="00564785"/>
    <w:rsid w:val="005A214E"/>
    <w:rsid w:val="007B13C3"/>
    <w:rsid w:val="00C4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2015-04-17T13:46:00Z</dcterms:created>
  <dcterms:modified xsi:type="dcterms:W3CDTF">2015-04-17T16:49:00Z</dcterms:modified>
</cp:coreProperties>
</file>