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8"/>
        <w:tblW w:w="15308" w:type="dxa"/>
        <w:tblInd w:w="-9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1691"/>
        <w:gridCol w:w="1594"/>
        <w:gridCol w:w="1026"/>
        <w:gridCol w:w="1438"/>
        <w:gridCol w:w="1398"/>
        <w:gridCol w:w="1737"/>
        <w:gridCol w:w="2232"/>
        <w:gridCol w:w="19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параметр\метод и модель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Модель на цепях Маркова</w:t>
            </w: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>модель экспоненциального сглаживания;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3862" w:type="dxa"/>
            <w:gridSpan w:val="3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>регрессионная модель;</w:t>
            </w:r>
          </w:p>
        </w:tc>
        <w:tc>
          <w:tcPr>
            <w:tcW w:w="3969" w:type="dxa"/>
            <w:gridSpan w:val="2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>авторегрессионные модели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>модель на классификационно-регрессионных деревьях(</w:t>
            </w:r>
            <w:r>
              <w:t>CART</w:t>
            </w:r>
            <w:r>
              <w:rPr>
                <w:rFonts w:hint="default"/>
                <w:lang w:val="ru-RU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w w:val="105"/>
                <w:sz w:val="28"/>
              </w:rPr>
              <w:t>простая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линейная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регрессия</w:t>
            </w: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w w:val="105"/>
                <w:sz w:val="28"/>
              </w:rPr>
              <w:t>множественная</w:t>
            </w:r>
            <w:r>
              <w:rPr>
                <w:spacing w:val="-14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регрессия</w:t>
            </w: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w w:val="105"/>
                <w:sz w:val="28"/>
              </w:rPr>
              <w:t>нелинейная</w:t>
            </w:r>
            <w:r>
              <w:rPr>
                <w:spacing w:val="-1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регрессия</w:t>
            </w: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w w:val="105"/>
                <w:sz w:val="28"/>
                <w:lang w:val="en-C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en-CA"/>
              </w:rPr>
              <w:t>ARIMAX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en-CA"/>
              </w:rPr>
              <w:t>GARCH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en-CA"/>
              </w:rPr>
              <w:t>ARDLM</w:t>
            </w:r>
          </w:p>
        </w:tc>
        <w:tc>
          <w:tcPr>
            <w:tcW w:w="2232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w w:val="105"/>
                <w:sz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  <w:u w:val="none"/>
                <w:lang w:val="ru-RU"/>
              </w:rPr>
              <w:t>модель по выборке максимального подобия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w w:val="105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ип модели</w:t>
            </w:r>
          </w:p>
        </w:tc>
        <w:tc>
          <w:tcPr>
            <w:tcW w:w="1691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структурная</w:t>
            </w:r>
          </w:p>
        </w:tc>
        <w:tc>
          <w:tcPr>
            <w:tcW w:w="1594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1026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143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139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1737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статистическая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w w:val="105"/>
                <w:sz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структурная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еобходимость преобразовывать данные временного ряда перед их прогнозированием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адо выделить состояния модели</w:t>
            </w: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 надо</w:t>
            </w: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 надо</w:t>
            </w: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 надо</w:t>
            </w: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 надо</w:t>
            </w: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 надо</w:t>
            </w: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не надо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адо построить дерево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оличество итераций или раз применения некоторой формулы для получения прогноза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 xml:space="preserve">n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раз для прогнозирования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 xml:space="preserve"> состояний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 xml:space="preserve"> </w:t>
            </w: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одна итерация. Однако перед этим проводится аппроксимация Т-М-1 выборок длины М.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бласть применения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рименимо к временным рядам, выполняющим Марковское свойство.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еприменимо к долгохранимым временным рядам</w:t>
            </w: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отсутствие возможности моделирования нелинейных процессо</w:t>
            </w: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отсутствие возможности моделирования нелинейных процессо</w:t>
            </w: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процессов имеет известную заранее функциональную зависимость</w:t>
            </w: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еравностоящие, стационарные и нестационарные ряды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Н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еобходима возможность принятия решения, когда стоит прекратить дальнейшие ветвления дерева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Количество учитываемых внешних факторов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0</w:t>
            </w: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1</w:t>
            </w: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1</w:t>
            </w: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 xml:space="preserve">, </w:t>
            </w: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1</w:t>
            </w:r>
          </w:p>
        </w:tc>
        <w:tc>
          <w:tcPr>
            <w:tcW w:w="19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Тип учитываемых внешних факторов</w:t>
            </w:r>
          </w:p>
        </w:tc>
        <w:tc>
          <w:tcPr>
            <w:tcW w:w="169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bookmarkStart w:id="0" w:name="_GoBack"/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Каиегориальные и дискретные</w:t>
            </w:r>
            <w:bookmarkEnd w:id="0"/>
          </w:p>
        </w:tc>
        <w:tc>
          <w:tcPr>
            <w:tcW w:w="1594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102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143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139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en-CA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173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2232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дискретные</w:t>
            </w:r>
          </w:p>
        </w:tc>
        <w:tc>
          <w:tcPr>
            <w:tcW w:w="1968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highlight w:val="none"/>
                <w:shd w:val="clear" w:color="auto" w:fill="auto"/>
                <w:vertAlign w:val="baseline"/>
                <w:lang w:val="ru-RU" w:eastAsia="zh-CN"/>
              </w:rPr>
              <w:t>Категориальные и дискретные</w:t>
            </w:r>
          </w:p>
        </w:tc>
      </w:tr>
    </w:tbl>
    <w:p/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Подводя</w:t>
      </w:r>
      <w:r>
        <w:rPr>
          <w:rFonts w:hint="default"/>
          <w:sz w:val="40"/>
          <w:szCs w:val="40"/>
          <w:lang w:val="ru-RU"/>
        </w:rPr>
        <w:t xml:space="preserve"> итоги, заметим, что статистические и структурные модели имеют ряд различий. </w:t>
      </w:r>
    </w:p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Статистические модели не требуют специальной обработки дискретных данных перед применением методов прогнозирования, в отличие от рассмотренных структурных методов: для цепей Маркова необходимо выделить состояния модели, а в случае </w:t>
      </w:r>
      <w:r>
        <w:rPr>
          <w:rFonts w:hint="default"/>
          <w:sz w:val="40"/>
          <w:szCs w:val="40"/>
          <w:lang w:val="ru-RU"/>
        </w:rPr>
        <w:t xml:space="preserve">классификационно - регрессионной модели </w:t>
      </w:r>
      <w:r>
        <w:rPr>
          <w:rFonts w:hint="default"/>
          <w:sz w:val="40"/>
          <w:szCs w:val="40"/>
          <w:lang w:val="ru-RU"/>
        </w:rPr>
        <w:t xml:space="preserve">нужно построить  одноимённое дерево. Данная особенность позволяет учитывать влияние внешних факторов, которые не являются дискретными, что невозможно в рассмотренных статистических моделях. </w:t>
      </w:r>
    </w:p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</w:p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С точки зрения количества учитываемых внешних дискретных факторов классифицируем методы следующим образом: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без учёта внешних факторов: </w:t>
      </w:r>
      <w:r>
        <w:rPr>
          <w:rFonts w:hint="default"/>
          <w:sz w:val="40"/>
          <w:szCs w:val="40"/>
          <w:lang w:val="ru-RU"/>
        </w:rPr>
        <w:t xml:space="preserve"> модель экспоненциального сглаживания;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учитывающие 1 дискретный внешний фактор: </w:t>
      </w:r>
      <w:r>
        <w:rPr>
          <w:rFonts w:hint="default"/>
          <w:sz w:val="40"/>
          <w:szCs w:val="40"/>
          <w:lang w:val="ru-RU"/>
        </w:rPr>
        <w:t>некоторые типы регрессионных моделей и авторегрессионная модель по выборке максимального подобия;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учитывающие любое количество внешних факторов:  структурные модели, модель множественной  регрессии и большинство авторегрессионных моделей.</w:t>
      </w:r>
    </w:p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Все рассмотренные модели имеют различную область применения, поэтому при выборе модели прогнозирования необходимо проверить, удовлетворяет ли временной ряд упомянутым требованиям.</w:t>
      </w:r>
    </w:p>
    <w:p>
      <w:pPr>
        <w:ind w:left="0" w:leftChars="0" w:firstLine="1000" w:firstLineChars="250"/>
        <w:rPr>
          <w:rFonts w:hint="default"/>
          <w:sz w:val="40"/>
          <w:szCs w:val="40"/>
          <w:lang w:val="ru-RU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20848"/>
    <w:multiLevelType w:val="singleLevel"/>
    <w:tmpl w:val="DA5208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97811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69E6EBF"/>
    <w:rsid w:val="4C240E17"/>
    <w:rsid w:val="6B65515C"/>
    <w:rsid w:val="7E09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2023-12-22T02:21:00Z</dcterms:created>
  <dc:creator>Алёна Вылегжанина</dc:creator>
  <cp:lastModifiedBy>Алёна Вылегжанина</cp:lastModifiedBy>
  <dcterms:modified xsi:type="dcterms:W3CDTF">2023-12-22T22:03:40Z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9C4B3EE977664F418EAF97879155F30A</vt:lpwstr>
  </property>
</Properties>
</file>