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240"/>
        <w:jc w:val="center"/>
      </w:pPr>
      <w:r>
        <w:rPr>
          <w:rFonts w:ascii="黑体" w:hAnsi="黑体" w:eastAsia="黑体"/>
          <w:b/>
          <w:sz w:val="52"/>
        </w:rPr>
        <w:t>故障检修系统</w:t>
      </w:r>
    </w:p>
    <w:p>
      <w:pPr>
        <w:spacing w:after="240"/>
        <w:jc w:val="center"/>
      </w:pPr>
      <w:r>
        <w:rPr>
          <w:rFonts w:ascii="黑体" w:hAnsi="黑体" w:eastAsia="黑体"/>
          <w:b w:val="0"/>
          <w:sz w:val="32"/>
        </w:rPr>
        <w:t>工业设备检修知识检索与作业辅助系统</w:t>
      </w:r>
    </w:p>
    <w:p>
      <w:pPr>
        <w:spacing w:after="240"/>
        <w:jc w:val="center"/>
      </w:pPr>
      <w:r>
        <w:rPr>
          <w:rFonts w:ascii="宋体" w:hAnsi="宋体" w:eastAsia="宋体"/>
          <w:b/>
          <w:sz w:val="36"/>
        </w:rPr>
        <w:t>软件安装包及部署文档</w:t>
      </w:r>
    </w:p>
    <w:p/>
    <w:p/>
    <w:p>
      <w:pPr>
        <w:jc w:val="center"/>
      </w:pPr>
      <w:r>
        <w:rPr>
          <w:rFonts w:ascii="宋体" w:hAnsi="宋体" w:eastAsia="宋体"/>
          <w:sz w:val="24"/>
        </w:rPr>
        <w:t>版本：v2.0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1. 环境准备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1.1 目标环境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操作系统：银河麒麟高级服务器操作系统 V10/V11（LoongArch 架构）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CPU：4 核及以上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内存：8GB 及以上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硬盘：256GB 及以上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网络：可访问大模型 API、火山方舟或本地 Ollama，必要时可访问字节日 RTC 服务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1.2 依赖软件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软件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版本</w:t>
            </w:r>
          </w:p>
        </w:tc>
        <w:tc>
          <w:tcPr>
            <w:tcW w:type="dxa" w:w="2882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4"/>
              </w:rPr>
              <w:t>说明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Python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3.11+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后端运行环境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Node.js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18+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前端构建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PostgreSQL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14+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关系数据库，需安装 pgvector 扩展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Nginx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1.20+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静态资源分发与反向代理</w:t>
            </w:r>
          </w:p>
        </w:tc>
      </w:tr>
      <w:tr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pip / npm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随 Python/Node 安装</w:t>
            </w:r>
          </w:p>
        </w:tc>
        <w:tc>
          <w:tcPr>
            <w:tcW w:type="dxa" w:w="2882"/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包管理工具</w:t>
            </w:r>
          </w:p>
        </w:tc>
      </w:tr>
    </w:tbl>
    <w:p/>
    <w:p>
      <w:pPr>
        <w:pStyle w:val="Heading1"/>
        <w:jc w:val="left"/>
      </w:pPr>
      <w:r>
        <w:rPr>
          <w:rFonts w:ascii="黑体" w:hAnsi="黑体" w:eastAsia="黑体"/>
          <w:sz w:val="32"/>
        </w:rPr>
        <w:t>2. 后端部署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2.1 获取源码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将项目源码拷贝到服务器目录，例如 /opt/faulttree。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2.2 创建虚拟环境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python3 -m venv .venv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source .venv/bin/activate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2.3 安装依赖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pip install -r requirements.txt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若 LoongArch 下某些依赖包需源码编译，请确保已安装 gcc、python3-dev 等编译工具。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2.4 配置环境变量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复制 .env.example 为 .env，并根据实际环境填写以下关键配置：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DATABASE_URL：PostgreSQL 连接地址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SECRET_KEY：JWT 密钥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OPENAI_API_KEY / OPENAI_BASE_URL / LLM_MODEL：大模型配置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VLM_API_KEY / VLM_BASE_URL / VLM_MODEL：视觉语言模型配置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MINIMAX_API_KEY、ARK_API_KEY、RTC_APP_ID 等按需配置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2.5 初始化数据库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1) 创建数据库并启用 pgvector 扩展：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CREATE DATABASE faulttree; CREATE EXTENSION IF NOT EXISTS vector;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2) 运行后端启动脚本，系统会自动创建表结构。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2.6 启动后端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source .venv/bin/activate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python -m uvicorn backend.main:app --host 0.0.0.0 --port 8000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3. 前端部署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3.1 安装依赖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cd frontend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npm install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3.2 构建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复制 frontend/.env.example 为 .env，配置 VITE_API_URL。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npm run build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3.3 Nginx 配置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将构建产物 frontend/dist 目录配置到 Nginx 的 root，并配置 /api 反向代理到后端服务。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4. Android App 安装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将 android-app/app/build/outputs/apk/release/app-release.apk 分发给移动端用户，安装后配置后端服务器地址即可使用。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5. 验证部署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访问 http://服务器地址/health，应返回 {status: ok, version: 2.0.0}。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打开前端页面，完成注册、登录。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进入总览页输入故障现象，确认能生成诊断树。</w:t>
      </w:r>
    </w:p>
    <w:p>
      <w:pPr>
        <w:pStyle w:val="ListBullet"/>
        <w:spacing w:line="360" w:lineRule="auto" w:after="60"/>
      </w:pPr>
      <w:r>
        <w:rPr>
          <w:rFonts w:ascii="宋体" w:hAnsi="宋体" w:eastAsia="宋体"/>
          <w:sz w:val="24"/>
        </w:rPr>
        <w:t>进入视觉识别页上传图片，确认能返回检测结果。</w:t>
      </w:r>
    </w:p>
    <w:p>
      <w:pPr>
        <w:pStyle w:val="Heading1"/>
        <w:jc w:val="left"/>
      </w:pPr>
      <w:r>
        <w:rPr>
          <w:rFonts w:ascii="黑体" w:hAnsi="黑体" w:eastAsia="黑体"/>
          <w:sz w:val="32"/>
        </w:rPr>
        <w:t>6. 常见问题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6.1 依赖安装失败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在 LoongArch 下部分 Python 包可能未提供预编译 wheel，可通过 pip 源码安装或联系银河麒麟软件源获取兼容版本。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6.2 数据库连接失败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检查 PostgreSQL 是否已启动、用户权限是否正确、DATABASE_URL 是否配置正确。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6.3 前端无法访问后端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检查 Nginx 反向代理配置、后端 CORS 配置及防火墙是否放行 8000 端口。</w:t>
      </w:r>
    </w:p>
    <w:p>
      <w:pPr>
        <w:pStyle w:val="Heading2"/>
        <w:jc w:val="left"/>
      </w:pPr>
      <w:r>
        <w:rPr>
          <w:rFonts w:ascii="黑体" w:hAnsi="黑体" w:eastAsia="黑体"/>
          <w:sz w:val="28"/>
        </w:rPr>
        <w:t>6.4 大模型调用失败</w:t>
      </w:r>
    </w:p>
    <w:p>
      <w:pPr>
        <w:spacing w:line="360" w:lineRule="auto" w:before="0" w:after="120"/>
        <w:ind w:firstLine="420"/>
      </w:pPr>
      <w:r>
        <w:rPr>
          <w:rFonts w:ascii="宋体" w:hAnsi="宋体" w:eastAsia="宋体"/>
          <w:sz w:val="24"/>
        </w:rPr>
        <w:t>检查环境变量中的 API Key 与 Base URL，确认网络可访问对应服务，或切换为本地 Ollama 服务。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