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中国大学生计算机设计大赛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AI工具使用说明(2026年版)</w:t>
      </w:r>
    </w:p>
    <w:p>
      <w:pPr>
        <w:jc w:val="left"/>
      </w:pPr>
      <w:r>
        <w:rPr>
          <w:rFonts w:ascii="宋体" w:hAnsi="宋体" w:eastAsia="宋体"/>
          <w:sz w:val="24"/>
        </w:rPr>
        <w:t xml:space="preserve">作品编号：        作品名称：                                    　  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AI工具的名称、版本、访问方式（网页、API或客户端），使用时间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使用AI工具的环节与目的（立项构思、文献综述、语言润色、内容生成、图表优化、代码编程、数据分析等）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关键提示词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AI回复的关键内容（在此简要说明，并在附录中给出佐证）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AI回复的</w:t>
              <w:br/>
              <w:t>人工修改说明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采纳比例</w:t>
              <w:br/>
              <w:t>与说明</w:t>
            </w:r>
          </w:p>
        </w:tc>
      </w:tr>
      <w:tr>
        <w:tc>
          <w:tcPr>
            <w:tcW w:type="dxa" w:w="1235"/>
          </w:tcPr>
          <w:p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 w:eastAsia="宋体"/>
                <w:sz w:val="18"/>
              </w:rPr>
              <w:t>豆包-思考模式(Doubao-Thinking)，电脑客户端访问，2026年4月28日 08:30-16:15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 w:eastAsia="宋体"/>
                <w:sz w:val="18"/>
              </w:rPr>
              <w:t>代码编程：使用AI生成Python数据预处理脚本（原始数据为CSV，含缺失值与异常值）；算法设计：辅助设计Agri-PC因果发现算法的三重约束机制；调试：协助定位Streamlit应用中TimedeltaIndex.dt属性报错；数据分析：辅助分析期货价格与天气因子的因果关系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 w:eastAsia="宋体"/>
                <w:sz w:val="18"/>
              </w:rPr>
              <w:t>请根据以下农险期货数据特征，生成Python脚本实现基于PC算法的因果发现，需包含农业先验约束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 w:eastAsia="宋体"/>
                <w:sz w:val="18"/>
              </w:rPr>
              <w:t>生成了基础PC算法框架，但缺少农业时序约束和季节性调整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 w:eastAsia="宋体"/>
                <w:sz w:val="18"/>
              </w:rPr>
              <w:t>增加三重约束（时序约束+业务先验+季节性调整），实现Agri-PC算法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 w:eastAsia="宋体"/>
                <w:sz w:val="18"/>
              </w:rPr>
              <w:t>AI生成内容占总代码量的20%，经人工重构后采纳率35%</w:t>
            </w:r>
          </w:p>
        </w:tc>
      </w:tr>
      <w:tr>
        <w:tc>
          <w:tcPr>
            <w:tcW w:type="dxa" w:w="1235"/>
          </w:tcPr>
          <w:p>
            <w:r/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 w:eastAsia="宋体"/>
                <w:sz w:val="18"/>
              </w:rPr>
              <w:t>豆包-思考模式(Doubao-Thinking)，电脑客户端访问，2026年4月28日 08:30-16:15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 w:eastAsia="宋体"/>
                <w:sz w:val="18"/>
              </w:rPr>
              <w:t>代码编程：辅助设计基于XGBoost的农险期货定价模型；数据分析：辅助SHAP可解释性分析；语言润色：对研究报告进行学术语言优化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 w:eastAsia="宋体"/>
                <w:sz w:val="18"/>
              </w:rPr>
              <w:t>请设计基于XGBoost的农险期货定价模型，需包含SHAP可解释性分析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 w:eastAsia="宋体"/>
                <w:sz w:val="18"/>
              </w:rPr>
              <w:t>提供了标准XGBoost回归框架，未包含因果特征工程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 w:eastAsia="宋体"/>
                <w:sz w:val="18"/>
              </w:rPr>
              <w:t>增加“基准价格+风险溢价”双轨架构，融合因果推断特征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 w:eastAsia="宋体"/>
                <w:sz w:val="18"/>
              </w:rPr>
              <w:t>AI生成内容占总代码量的15%，经人工重构后采纳率25%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附录2：</w:t>
      </w:r>
    </w:p>
    <w:p>
      <w:r>
        <w:rPr>
          <w:rFonts w:ascii="宋体" w:hAnsi="宋体" w:eastAsia="宋体"/>
          <w:sz w:val="24"/>
        </w:rPr>
        <w:t>序号1的佐证材料：</w:t>
      </w:r>
    </w:p>
    <w:p>
      <w:r>
        <w:rPr>
          <w:rFonts w:ascii="宋体" w:hAnsi="宋体" w:eastAsia="宋体"/>
          <w:sz w:val="20"/>
        </w:rPr>
        <w:t>（AI对话截图、代码生成记录及人工修改对比，详见提交材料附件）</w:t>
      </w:r>
    </w:p>
    <w:p>
      <w:r>
        <w:rPr>
          <w:rFonts w:ascii="宋体" w:hAnsi="宋体" w:eastAsia="宋体"/>
          <w:sz w:val="24"/>
        </w:rPr>
        <w:t>序号2的佐证材料：</w:t>
      </w:r>
    </w:p>
    <w:p>
      <w:r>
        <w:rPr>
          <w:rFonts w:ascii="宋体" w:hAnsi="宋体" w:eastAsia="宋体"/>
          <w:sz w:val="20"/>
        </w:rPr>
        <w:t>（AI对话截图、模型设计讨论记录及人工重构对比，详见提交材料附件）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