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rFonts w:ascii="Calibri" w:cs="Calibri" w:hAnsi="Calibri" w:eastAsia="Calibri"/>
          <w:color w:val="000000"/>
          <w:sz w:val="32"/>
          <w:szCs w:val="32"/>
          <w:u w:color="000000"/>
        </w:rPr>
      </w:pPr>
      <w:r>
        <w:rPr>
          <w:rFonts w:ascii="Calibri" w:cs="Calibri" w:hAnsi="Calibri" w:eastAsia="Calibri"/>
          <w:color w:val="000000"/>
          <w:sz w:val="32"/>
          <w:szCs w:val="32"/>
          <w:u w:color="000000"/>
          <w:rtl w:val="0"/>
          <w:lang w:val="da-DK"/>
        </w:rPr>
        <w:t xml:space="preserve">Lydia Barrett 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BSc Hons, MA</w:t>
      </w:r>
    </w:p>
    <w:p>
      <w:pPr>
        <w:pStyle w:val="Body"/>
        <w:spacing w:after="0" w:line="240" w:lineRule="auto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</w:rPr>
        <w:t>lydiajanebarrett@gmail.com</w:t>
      </w:r>
    </w:p>
    <w:p>
      <w:pPr>
        <w:pStyle w:val="Body"/>
        <w:spacing w:after="0"/>
        <w:rPr>
          <w:rFonts w:ascii="Calibri" w:cs="Calibri" w:hAnsi="Calibri" w:eastAsia="Calibri"/>
          <w:b w:val="1"/>
          <w:bCs w:val="1"/>
          <w:sz w:val="18"/>
          <w:szCs w:val="18"/>
        </w:rPr>
      </w:pPr>
    </w:p>
    <w:p>
      <w:pPr>
        <w:pStyle w:val="Body"/>
        <w:pBdr>
          <w:top w:val="nil"/>
          <w:left w:val="nil"/>
          <w:bottom w:val="single" w:color="b4dcfa" w:sz="12" w:space="0" w:shadow="0" w:frame="0"/>
          <w:right w:val="nil"/>
        </w:pBdr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Experience</w:t>
      </w:r>
    </w:p>
    <w:p>
      <w:pPr>
        <w:pStyle w:val="Body"/>
        <w:spacing w:after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July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 xml:space="preserve"> 201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7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 xml:space="preserve"> – 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Present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 xml:space="preserve"> </w:t>
        <w:tab/>
        <w:tab/>
        <w:tab/>
        <w:tab/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PR Manager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 xml:space="preserve"> EMEA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 xml:space="preserve">, 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Brandwatch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: London</w:t>
      </w:r>
    </w:p>
    <w:p>
      <w:pPr>
        <w:pStyle w:val="Body"/>
        <w:spacing w:after="0"/>
        <w:rPr>
          <w:rFonts w:ascii="Calibri" w:cs="Calibri" w:hAnsi="Calibri" w:eastAsia="Calibri"/>
          <w:b w:val="1"/>
          <w:bCs w:val="1"/>
          <w:sz w:val="20"/>
          <w:szCs w:val="20"/>
        </w:rPr>
      </w:pPr>
    </w:p>
    <w:p>
      <w:pPr>
        <w:pStyle w:val="Default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Trebuchet MS" w:cs="Trebuchet MS" w:hAnsi="Trebuchet MS" w:eastAsia="Trebuchet MS"/>
          <w:sz w:val="20"/>
          <w:szCs w:val="20"/>
          <w:shd w:val="clear" w:color="auto" w:fill="ffffff"/>
          <w:rtl w:val="0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rtl w:val="0"/>
          <w:lang w:val="en-US"/>
        </w:rPr>
        <w:t xml:space="preserve">A strategic and data-driven approach to PR planning and implementation. </w:t>
      </w:r>
    </w:p>
    <w:p>
      <w:pPr>
        <w:pStyle w:val="Default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Trebuchet MS" w:cs="Trebuchet MS" w:hAnsi="Trebuchet MS" w:eastAsia="Trebuchet MS"/>
          <w:sz w:val="20"/>
          <w:szCs w:val="20"/>
          <w:shd w:val="clear" w:color="auto" w:fill="ffffff"/>
          <w:rtl w:val="0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rtl w:val="0"/>
          <w:lang w:val="en-US"/>
        </w:rPr>
        <w:t>Experience working within an international setting.</w:t>
      </w:r>
    </w:p>
    <w:p>
      <w:pPr>
        <w:pStyle w:val="Default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Trebuchet MS" w:cs="Trebuchet MS" w:hAnsi="Trebuchet MS" w:eastAsia="Trebuchet MS"/>
          <w:sz w:val="20"/>
          <w:szCs w:val="20"/>
          <w:shd w:val="clear" w:color="auto" w:fill="ffffff"/>
          <w:rtl w:val="0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rtl w:val="0"/>
          <w:lang w:val="en-US"/>
        </w:rPr>
        <w:t xml:space="preserve">Overseeing campaigns to reach targeted audiences. </w:t>
      </w:r>
    </w:p>
    <w:p>
      <w:pPr>
        <w:pStyle w:val="Default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Trebuchet MS" w:cs="Trebuchet MS" w:hAnsi="Trebuchet MS" w:eastAsia="Trebuchet MS"/>
          <w:sz w:val="20"/>
          <w:szCs w:val="20"/>
          <w:shd w:val="clear" w:color="auto" w:fill="ffffff"/>
          <w:rtl w:val="0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rtl w:val="0"/>
          <w:lang w:val="en-US"/>
        </w:rPr>
        <w:t xml:space="preserve">Comprehensive use of the Brandwatch platform. </w:t>
      </w:r>
    </w:p>
    <w:p>
      <w:pPr>
        <w:pStyle w:val="Default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Trebuchet MS" w:cs="Trebuchet MS" w:hAnsi="Trebuchet MS" w:eastAsia="Trebuchet MS"/>
          <w:sz w:val="20"/>
          <w:szCs w:val="20"/>
          <w:shd w:val="clear" w:color="auto" w:fill="ffffff"/>
          <w:rtl w:val="0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rtl w:val="0"/>
          <w:lang w:val="en-US"/>
        </w:rPr>
        <w:t xml:space="preserve">Placement of both B2B and B2C pieces including: The Guardian, BBC, Forbes, New York Times, TechCrunch, </w:t>
      </w:r>
      <w:r>
        <w:rPr>
          <w:rFonts w:ascii="Trebuchet MS" w:hAnsi="Trebuchet MS"/>
          <w:sz w:val="20"/>
          <w:szCs w:val="20"/>
          <w:shd w:val="clear" w:color="auto" w:fill="ffffff"/>
          <w:rtl w:val="0"/>
          <w:lang w:val="en-US"/>
        </w:rPr>
        <w:t>Marketing</w:t>
      </w:r>
      <w:r>
        <w:rPr>
          <w:rFonts w:ascii="Trebuchet MS" w:hAnsi="Trebuchet MS"/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rFonts w:ascii="Trebuchet MS" w:hAnsi="Trebuchet MS"/>
          <w:sz w:val="20"/>
          <w:szCs w:val="20"/>
          <w:shd w:val="clear" w:color="auto" w:fill="ffffff"/>
          <w:rtl w:val="0"/>
          <w:lang w:val="en-US"/>
        </w:rPr>
        <w:t>Week, PR Week, Digiday</w:t>
      </w:r>
      <w:r>
        <w:rPr>
          <w:rFonts w:ascii="Trebuchet MS" w:hAnsi="Trebuchet MS"/>
          <w:sz w:val="20"/>
          <w:szCs w:val="20"/>
          <w:shd w:val="clear" w:color="auto" w:fill="ffffff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Trebuchet MS" w:cs="Trebuchet MS" w:hAnsi="Trebuchet MS" w:eastAsia="Trebuchet MS"/>
          <w:sz w:val="20"/>
          <w:szCs w:val="20"/>
          <w:shd w:val="clear" w:color="auto" w:fill="ffffff"/>
          <w:rtl w:val="0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rtl w:val="0"/>
          <w:lang w:val="en-US"/>
        </w:rPr>
        <w:t>128 pieces of coverage published within the first 6 months at this position.</w:t>
      </w:r>
    </w:p>
    <w:p>
      <w:pPr>
        <w:pStyle w:val="Default"/>
        <w:bidi w:val="0"/>
        <w:spacing w:line="288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0"/>
          <w:szCs w:val="20"/>
          <w:shd w:val="clear" w:color="auto" w:fill="ffffff"/>
          <w:rtl w:val="0"/>
        </w:rPr>
      </w:pPr>
    </w:p>
    <w:p>
      <w:pPr>
        <w:pStyle w:val="Body"/>
        <w:spacing w:after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 xml:space="preserve">August 2016 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July 2017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 xml:space="preserve"> </w:t>
        <w:tab/>
        <w:tab/>
        <w:tab/>
        <w:tab/>
        <w:t xml:space="preserve">PR &amp; Communications Manager, Flubit Ltd: London </w:t>
      </w:r>
    </w:p>
    <w:p>
      <w:pPr>
        <w:pStyle w:val="Body"/>
        <w:spacing w:after="0"/>
        <w:rPr>
          <w:rFonts w:ascii="Calibri" w:cs="Calibri" w:hAnsi="Calibri" w:eastAsia="Calibri"/>
          <w:b w:val="1"/>
          <w:bCs w:val="1"/>
          <w:sz w:val="20"/>
          <w:szCs w:val="20"/>
          <w:lang w:val="en-US"/>
        </w:rPr>
      </w:pPr>
    </w:p>
    <w:p>
      <w:pPr>
        <w:pStyle w:val="List Paragraph"/>
        <w:numPr>
          <w:ilvl w:val="0"/>
          <w:numId w:val="3"/>
        </w:numPr>
        <w:bidi w:val="0"/>
        <w:spacing w:after="0"/>
        <w:ind w:right="0"/>
        <w:jc w:val="left"/>
        <w:rPr>
          <w:rFonts w:ascii="Calibri" w:cs="Calibri" w:hAnsi="Calibri" w:eastAsia="Calibri"/>
          <w:sz w:val="20"/>
          <w:szCs w:val="20"/>
          <w:rtl w:val="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Single handedly planning and implementing B2C, B2B and internal communication strategies.</w:t>
      </w:r>
    </w:p>
    <w:p>
      <w:pPr>
        <w:pStyle w:val="List Paragraph"/>
        <w:numPr>
          <w:ilvl w:val="0"/>
          <w:numId w:val="3"/>
        </w:numPr>
        <w:bidi w:val="0"/>
        <w:spacing w:after="0"/>
        <w:ind w:right="0"/>
        <w:jc w:val="left"/>
        <w:rPr>
          <w:rFonts w:ascii="Calibri" w:cs="Calibri" w:hAnsi="Calibri" w:eastAsia="Calibri"/>
          <w:sz w:val="20"/>
          <w:szCs w:val="20"/>
          <w:rtl w:val="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Working alongside marketing to align brand aesthetic and key messaging. </w:t>
      </w:r>
    </w:p>
    <w:p>
      <w:pPr>
        <w:pStyle w:val="List Paragraph"/>
        <w:numPr>
          <w:ilvl w:val="0"/>
          <w:numId w:val="3"/>
        </w:numPr>
        <w:bidi w:val="0"/>
        <w:spacing w:after="0"/>
        <w:ind w:right="0"/>
        <w:jc w:val="left"/>
        <w:rPr>
          <w:rFonts w:ascii="Calibri" w:cs="Calibri" w:hAnsi="Calibri" w:eastAsia="Calibri"/>
          <w:sz w:val="20"/>
          <w:szCs w:val="20"/>
          <w:rtl w:val="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Delivery of B2B/B2C coverage. Placements of note include: The Gadget Show, The Sun, The Telegraph and British Airways Business Life.</w:t>
      </w:r>
    </w:p>
    <w:p>
      <w:pPr>
        <w:pStyle w:val="List Paragraph"/>
        <w:numPr>
          <w:ilvl w:val="0"/>
          <w:numId w:val="3"/>
        </w:numPr>
        <w:bidi w:val="0"/>
        <w:spacing w:after="0"/>
        <w:ind w:right="0"/>
        <w:jc w:val="left"/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0"/>
          <w:szCs w:val="20"/>
          <w:rtl w:val="0"/>
          <w:lang w:val="en-US"/>
        </w:rPr>
        <w:t xml:space="preserve">Sourcing relevant media outlets, key journalists and influencers. </w:t>
      </w:r>
    </w:p>
    <w:p>
      <w:pPr>
        <w:pStyle w:val="List Paragraph"/>
        <w:numPr>
          <w:ilvl w:val="0"/>
          <w:numId w:val="3"/>
        </w:numPr>
        <w:bidi w:val="0"/>
        <w:spacing w:after="0"/>
        <w:ind w:right="0"/>
        <w:jc w:val="left"/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0"/>
          <w:szCs w:val="20"/>
          <w:rtl w:val="0"/>
          <w:lang w:val="en-US"/>
        </w:rPr>
        <w:t>Working with external content writers and advising internal content strategy.</w:t>
      </w:r>
    </w:p>
    <w:p>
      <w:pPr>
        <w:pStyle w:val="List Paragraph"/>
        <w:numPr>
          <w:ilvl w:val="0"/>
          <w:numId w:val="3"/>
        </w:numPr>
        <w:bidi w:val="0"/>
        <w:spacing w:after="0"/>
        <w:ind w:right="0"/>
        <w:jc w:val="left"/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0"/>
          <w:szCs w:val="20"/>
          <w:rtl w:val="0"/>
          <w:lang w:val="en-US"/>
        </w:rPr>
        <w:t>Leveraging Google Analytics and company data to determine effective delivery and focus.</w:t>
      </w:r>
    </w:p>
    <w:p>
      <w:pPr>
        <w:pStyle w:val="List Paragraph"/>
        <w:numPr>
          <w:ilvl w:val="0"/>
          <w:numId w:val="3"/>
        </w:numPr>
        <w:bidi w:val="0"/>
        <w:spacing w:after="0"/>
        <w:ind w:right="0"/>
        <w:jc w:val="left"/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0"/>
          <w:szCs w:val="20"/>
          <w:rtl w:val="0"/>
          <w:lang w:val="en-US"/>
        </w:rPr>
        <w:t>Forging long-term relationships with key members of the press.</w:t>
      </w:r>
    </w:p>
    <w:p>
      <w:pPr>
        <w:pStyle w:val="List Paragraph"/>
        <w:numPr>
          <w:ilvl w:val="0"/>
          <w:numId w:val="3"/>
        </w:numPr>
        <w:bidi w:val="0"/>
        <w:spacing w:after="0"/>
        <w:ind w:right="0"/>
        <w:jc w:val="left"/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0"/>
          <w:szCs w:val="20"/>
          <w:rtl w:val="0"/>
          <w:lang w:val="en-US"/>
        </w:rPr>
        <w:t>Over 60 pieces of coverage in total during my tenure.</w:t>
      </w:r>
    </w:p>
    <w:p>
      <w:pPr>
        <w:pStyle w:val="Body"/>
        <w:spacing w:after="0"/>
        <w:rPr>
          <w:rFonts w:ascii="Calibri" w:cs="Calibri" w:hAnsi="Calibri" w:eastAsia="Calibri"/>
          <w:b w:val="1"/>
          <w:bCs w:val="1"/>
          <w:sz w:val="20"/>
          <w:szCs w:val="20"/>
          <w:lang w:val="en-US"/>
        </w:rPr>
      </w:pPr>
    </w:p>
    <w:p>
      <w:pPr>
        <w:pStyle w:val="Body"/>
        <w:spacing w:after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 xml:space="preserve">September 2014 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August 2016</w:t>
        <w:tab/>
        <w:tab/>
        <w:tab/>
        <w:t>Account Executive, PHA Media: London</w:t>
      </w:r>
    </w:p>
    <w:p>
      <w:pPr>
        <w:pStyle w:val="Body"/>
        <w:spacing w:after="0"/>
        <w:rPr>
          <w:rFonts w:ascii="Calibri" w:cs="Calibri" w:hAnsi="Calibri" w:eastAsia="Calibri"/>
          <w:b w:val="1"/>
          <w:bCs w:val="1"/>
          <w:sz w:val="20"/>
          <w:szCs w:val="20"/>
          <w:lang w:val="en-US"/>
        </w:rPr>
      </w:pPr>
    </w:p>
    <w:p>
      <w:pPr>
        <w:pStyle w:val="List Paragraph"/>
        <w:numPr>
          <w:ilvl w:val="0"/>
          <w:numId w:val="5"/>
        </w:numPr>
        <w:bidi w:val="0"/>
        <w:spacing w:after="0"/>
        <w:ind w:right="0"/>
        <w:jc w:val="left"/>
        <w:rPr>
          <w:rFonts w:ascii="Calibri" w:cs="Calibri" w:hAnsi="Calibri" w:eastAsia="Calibri"/>
          <w:sz w:val="20"/>
          <w:szCs w:val="20"/>
          <w:rtl w:val="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Providing PR strategy tailored to individual stakeholder requirements.</w:t>
      </w:r>
    </w:p>
    <w:p>
      <w:pPr>
        <w:pStyle w:val="List Paragraph"/>
        <w:numPr>
          <w:ilvl w:val="0"/>
          <w:numId w:val="5"/>
        </w:numPr>
        <w:bidi w:val="0"/>
        <w:spacing w:after="0"/>
        <w:ind w:right="0"/>
        <w:jc w:val="left"/>
        <w:rPr>
          <w:rFonts w:ascii="Calibri" w:cs="Calibri" w:hAnsi="Calibri" w:eastAsia="Calibri"/>
          <w:sz w:val="20"/>
          <w:szCs w:val="20"/>
          <w:rtl w:val="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Sole responsibility of Chilly Powder account. Secured articles in: The Times, Stylist Arabia and Women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’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s Fitness.</w:t>
      </w:r>
    </w:p>
    <w:p>
      <w:pPr>
        <w:pStyle w:val="List Paragraph"/>
        <w:numPr>
          <w:ilvl w:val="0"/>
          <w:numId w:val="5"/>
        </w:numPr>
        <w:bidi w:val="0"/>
        <w:spacing w:after="0"/>
        <w:ind w:right="0"/>
        <w:jc w:val="left"/>
        <w:rPr>
          <w:rFonts w:ascii="Calibri" w:cs="Calibri" w:hAnsi="Calibri" w:eastAsia="Calibri"/>
          <w:sz w:val="20"/>
          <w:szCs w:val="20"/>
          <w:rtl w:val="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Client facing across all accounts including: 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>Crystal Palace FC, Xercise4Less and Richard Thompson.</w:t>
      </w:r>
    </w:p>
    <w:p>
      <w:pPr>
        <w:pStyle w:val="List Paragraph"/>
        <w:numPr>
          <w:ilvl w:val="0"/>
          <w:numId w:val="5"/>
        </w:numPr>
        <w:bidi w:val="0"/>
        <w:spacing w:after="0"/>
        <w:ind w:right="0"/>
        <w:jc w:val="left"/>
        <w:rPr>
          <w:rFonts w:ascii="Calibri" w:cs="Calibri" w:hAnsi="Calibri" w:eastAsia="Calibri"/>
          <w:sz w:val="20"/>
          <w:szCs w:val="20"/>
          <w:rtl w:val="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Securement of coverage across various online, print and broadcast outlets.</w:t>
      </w:r>
    </w:p>
    <w:p>
      <w:pPr>
        <w:pStyle w:val="List Paragraph"/>
        <w:numPr>
          <w:ilvl w:val="0"/>
          <w:numId w:val="5"/>
        </w:numPr>
        <w:bidi w:val="0"/>
        <w:spacing w:after="0"/>
        <w:ind w:right="0"/>
        <w:jc w:val="left"/>
        <w:rPr>
          <w:rFonts w:ascii="Calibri" w:cs="Calibri" w:hAnsi="Calibri" w:eastAsia="Calibri"/>
          <w:sz w:val="20"/>
          <w:szCs w:val="20"/>
          <w:rtl w:val="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Press release construction, storytelling and pitching to the press.</w:t>
      </w:r>
    </w:p>
    <w:p>
      <w:pPr>
        <w:pStyle w:val="List Paragraph"/>
        <w:numPr>
          <w:ilvl w:val="0"/>
          <w:numId w:val="5"/>
        </w:numPr>
        <w:bidi w:val="0"/>
        <w:spacing w:after="0"/>
        <w:ind w:right="0"/>
        <w:jc w:val="left"/>
        <w:rPr>
          <w:rFonts w:ascii="Calibri" w:cs="Calibri" w:hAnsi="Calibri" w:eastAsia="Calibri"/>
          <w:sz w:val="20"/>
          <w:szCs w:val="20"/>
          <w:rtl w:val="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Identifying and working with key influencers and celebrities to reinforce brand image.</w:t>
      </w:r>
    </w:p>
    <w:p>
      <w:pPr>
        <w:pStyle w:val="Body"/>
        <w:spacing w:after="0" w:line="240" w:lineRule="auto"/>
        <w:rPr>
          <w:rFonts w:ascii="Calibri" w:cs="Calibri" w:hAnsi="Calibri" w:eastAsia="Calibri"/>
          <w:color w:val="333333"/>
          <w:sz w:val="18"/>
          <w:szCs w:val="18"/>
          <w:u w:color="333333"/>
          <w:shd w:val="clear" w:color="auto" w:fill="ffffff"/>
        </w:rPr>
      </w:pPr>
    </w:p>
    <w:p>
      <w:pPr>
        <w:pStyle w:val="Body"/>
        <w:spacing w:after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Jan-September 2014</w:t>
        <w:tab/>
        <w:tab/>
        <w:tab/>
        <w:tab/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 xml:space="preserve">           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 xml:space="preserve">PR and Communications Intern, Depaul International: London  </w:t>
      </w:r>
    </w:p>
    <w:p>
      <w:pPr>
        <w:pStyle w:val="Body"/>
        <w:spacing w:after="0"/>
        <w:rPr>
          <w:rFonts w:ascii="Calibri" w:cs="Calibri" w:hAnsi="Calibri" w:eastAsia="Calibri"/>
          <w:b w:val="1"/>
          <w:bCs w:val="1"/>
          <w:sz w:val="20"/>
          <w:szCs w:val="20"/>
          <w:lang w:val="en-US"/>
        </w:rPr>
      </w:pP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rFonts w:ascii="Calibri" w:cs="Calibri" w:hAnsi="Calibri" w:eastAsia="Calibri"/>
          <w:sz w:val="20"/>
          <w:szCs w:val="20"/>
          <w:rtl w:val="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Responsible for creating and implementing an international social media strategy; focusing on best practice and impactful use of various channels across six counties.</w:t>
      </w:r>
    </w:p>
    <w:p>
      <w:pPr>
        <w:pStyle w:val="Body"/>
        <w:spacing w:after="0" w:line="240" w:lineRule="auto"/>
        <w:rPr>
          <w:rFonts w:ascii="Calibri" w:cs="Calibri" w:hAnsi="Calibri" w:eastAsia="Calibri"/>
          <w:i w:val="1"/>
          <w:iCs w:val="1"/>
        </w:rPr>
      </w:pPr>
    </w:p>
    <w:p>
      <w:pPr>
        <w:pStyle w:val="Body"/>
        <w:spacing w:after="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pBdr>
          <w:top w:val="nil"/>
          <w:left w:val="nil"/>
          <w:bottom w:val="single" w:color="b4dcfa" w:sz="12" w:space="0" w:shadow="0" w:frame="0"/>
          <w:right w:val="nil"/>
        </w:pBdr>
        <w:spacing w:after="0" w:line="240" w:lineRule="auto"/>
        <w:rPr>
          <w:rFonts w:ascii="Calibri" w:cs="Calibri" w:hAnsi="Calibri" w:eastAsia="Calibri"/>
          <w:i w:val="1"/>
          <w:i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EDUCATION</w:t>
      </w:r>
    </w:p>
    <w:p>
      <w:pPr>
        <w:pStyle w:val="List Paragraph"/>
        <w:spacing w:after="0" w:line="240" w:lineRule="auto"/>
        <w:rPr>
          <w:rFonts w:ascii="Calibri" w:cs="Calibri" w:hAnsi="Calibri" w:eastAsia="Calibri"/>
          <w:b w:val="1"/>
          <w:bCs w:val="1"/>
          <w:sz w:val="20"/>
          <w:szCs w:val="20"/>
        </w:rPr>
      </w:pPr>
    </w:p>
    <w:p>
      <w:pPr>
        <w:pStyle w:val="List Paragraph"/>
        <w:spacing w:after="0" w:line="240" w:lineRule="auto"/>
        <w:ind w:left="0" w:firstLine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Sept 2013 - September 2014</w:t>
      </w:r>
      <w:r>
        <w:rPr>
          <w:rFonts w:ascii="Calibri" w:cs="Calibri" w:hAnsi="Calibri" w:eastAsia="Calibri"/>
          <w:sz w:val="20"/>
          <w:szCs w:val="20"/>
        </w:rPr>
        <w:tab/>
        <w:tab/>
        <w:tab/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University of Greenwich</w:t>
      </w:r>
    </w:p>
    <w:p>
      <w:pPr>
        <w:pStyle w:val="List Paragraph"/>
        <w:spacing w:after="0" w:line="240" w:lineRule="auto"/>
        <w:ind w:left="0" w:firstLine="72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</w:rPr>
        <w:tab/>
        <w:tab/>
        <w:tab/>
        <w:tab/>
        <w:tab/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MA, Hons Public Relations  (1</w:t>
      </w:r>
      <w:r>
        <w:rPr>
          <w:rFonts w:ascii="Calibri" w:cs="Calibri" w:hAnsi="Calibri" w:eastAsia="Calibri"/>
          <w:sz w:val="20"/>
          <w:szCs w:val="20"/>
          <w:vertAlign w:val="superscript"/>
          <w:rtl w:val="0"/>
          <w:lang w:val="en-US"/>
        </w:rPr>
        <w:t>st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 Class)</w:t>
      </w:r>
    </w:p>
    <w:p>
      <w:pPr>
        <w:pStyle w:val="Body"/>
        <w:spacing w:after="0" w:line="240" w:lineRule="auto"/>
        <w:rPr>
          <w:rFonts w:ascii="Calibri" w:cs="Calibri" w:hAnsi="Calibri" w:eastAsia="Calibri"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alibri" w:cs="Calibri" w:hAnsi="Calibri" w:eastAsia="Calibri"/>
          <w:color w:val="333333"/>
          <w:sz w:val="20"/>
          <w:szCs w:val="20"/>
          <w:u w:color="333333"/>
          <w:shd w:val="clear" w:color="auto" w:fill="ffffff"/>
          <w:rtl w:val="0"/>
          <w:lang w:val="en-US"/>
        </w:rPr>
        <w:t>Graduated first in class.</w:t>
      </w:r>
    </w:p>
    <w:p>
      <w:pPr>
        <w:pStyle w:val="Body"/>
        <w:spacing w:after="0" w:line="240" w:lineRule="auto"/>
        <w:rPr>
          <w:rFonts w:ascii="Calibri" w:cs="Calibri" w:hAnsi="Calibri" w:eastAsia="Calibri"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alibri" w:cs="Calibri" w:hAnsi="Calibri" w:eastAsia="Calibri"/>
          <w:color w:val="333333"/>
          <w:sz w:val="20"/>
          <w:szCs w:val="20"/>
          <w:u w:color="333333"/>
          <w:shd w:val="clear" w:color="auto" w:fill="ffffff"/>
          <w:rtl w:val="0"/>
          <w:lang w:val="en-US"/>
        </w:rPr>
        <w:t>Guest Lecture at the university on a regular basis.</w:t>
      </w:r>
    </w:p>
    <w:p>
      <w:pPr>
        <w:pStyle w:val="Body"/>
        <w:spacing w:after="0" w:line="240" w:lineRule="auto"/>
        <w:jc w:val="both"/>
        <w:rPr>
          <w:rFonts w:ascii="Calibri" w:cs="Calibri" w:hAnsi="Calibri" w:eastAsia="Calibri"/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jc w:val="both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Sept 2009 - July 2012</w:t>
        <w:tab/>
        <w:tab/>
        <w:tab/>
        <w:tab/>
        <w:t>Cardiff University</w:t>
      </w:r>
    </w:p>
    <w:p>
      <w:pPr>
        <w:pStyle w:val="Body"/>
        <w:spacing w:after="0" w:line="240" w:lineRule="auto"/>
        <w:ind w:left="3600" w:firstLine="720"/>
        <w:jc w:val="both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BSc Hons. Human Geography and Town Planning (2:1)</w:t>
      </w:r>
    </w:p>
    <w:p>
      <w:pPr>
        <w:pStyle w:val="List Paragraph"/>
        <w:tabs>
          <w:tab w:val="left" w:pos="7803"/>
        </w:tabs>
        <w:spacing w:after="0"/>
        <w:rPr>
          <w:rFonts w:ascii="Calibri" w:cs="Calibri" w:hAnsi="Calibri" w:eastAsia="Calibri"/>
          <w:sz w:val="18"/>
          <w:szCs w:val="18"/>
        </w:rPr>
      </w:pPr>
    </w:p>
    <w:p>
      <w:pPr>
        <w:pStyle w:val="Body"/>
        <w:spacing w:after="0"/>
        <w:rPr>
          <w:rFonts w:ascii="Calibri" w:cs="Calibri" w:hAnsi="Calibri" w:eastAsia="Calibri"/>
          <w:b w:val="1"/>
          <w:bCs w:val="1"/>
          <w:sz w:val="18"/>
          <w:szCs w:val="18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Sept 2005 - May 2009</w:t>
        <w:tab/>
        <w:tab/>
        <w:tab/>
        <w:tab/>
        <w:t>Churchill Academy and Sixth Form Centre</w:t>
      </w:r>
    </w:p>
    <w:p>
      <w:pPr>
        <w:pStyle w:val="List Paragraph"/>
        <w:spacing w:after="0"/>
        <w:rPr>
          <w:rFonts w:ascii="Calibri" w:cs="Calibri" w:hAnsi="Calibri" w:eastAsia="Calibri"/>
          <w:b w:val="1"/>
          <w:bCs w:val="1"/>
          <w:sz w:val="18"/>
          <w:szCs w:val="18"/>
        </w:rPr>
      </w:pPr>
    </w:p>
    <w:p>
      <w:pPr>
        <w:pStyle w:val="List Paragraph"/>
        <w:spacing w:after="0"/>
        <w:ind w:left="0" w:firstLine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A-Levels: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 English Language 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(B)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, Geography 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(B)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, Theatre Studies 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(B)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, General Studies 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(B)</w:t>
      </w:r>
    </w:p>
    <w:p>
      <w:pPr>
        <w:pStyle w:val="List Paragraph"/>
        <w:spacing w:after="0"/>
        <w:ind w:left="0" w:firstLine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GCSEs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: 11 ranging from 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A*-B</w:t>
      </w:r>
    </w:p>
    <w:p>
      <w:pPr>
        <w:pStyle w:val="List Paragraph"/>
        <w:spacing w:after="0"/>
        <w:rPr>
          <w:rFonts w:ascii="Calibri" w:cs="Calibri" w:hAnsi="Calibri" w:eastAsia="Calibri"/>
          <w:sz w:val="18"/>
          <w:szCs w:val="18"/>
          <w:lang w:val="en-US"/>
        </w:rPr>
      </w:pPr>
    </w:p>
    <w:p>
      <w:pPr>
        <w:pStyle w:val="List Paragraph"/>
        <w:spacing w:after="0" w:line="240" w:lineRule="auto"/>
        <w:rPr>
          <w:rFonts w:ascii="Calibri" w:cs="Calibri" w:hAnsi="Calibri" w:eastAsia="Calibri"/>
          <w:sz w:val="18"/>
          <w:szCs w:val="18"/>
        </w:rPr>
      </w:pPr>
    </w:p>
    <w:p>
      <w:pPr>
        <w:pStyle w:val="Body"/>
        <w:pBdr>
          <w:top w:val="single" w:color="b4dcfa" w:sz="12" w:space="0" w:shadow="0" w:frame="0"/>
          <w:left w:val="nil"/>
          <w:bottom w:val="single" w:color="b4dcfa" w:sz="12" w:space="0" w:shadow="0" w:frame="0"/>
          <w:right w:val="nil"/>
        </w:pBdr>
        <w:jc w:val="center"/>
      </w:pPr>
      <w:r>
        <w:rPr>
          <w:rFonts w:ascii="Calibri" w:cs="Calibri" w:hAnsi="Calibri" w:eastAsia="Calibri"/>
          <w:b w:val="1"/>
          <w:bCs w:val="1"/>
          <w:sz w:val="18"/>
          <w:szCs w:val="18"/>
          <w:rtl w:val="0"/>
          <w:lang w:val="en-US"/>
        </w:rPr>
        <w:t>REFERENCES AVAILABLE UPON REQUEST</w:t>
      </w:r>
    </w:p>
    <w:sectPr>
      <w:headerReference w:type="default" r:id="rId4"/>
      <w:footerReference w:type="default" r:id="rId5"/>
      <w:pgSz w:w="11900" w:h="16840" w:orient="portrait"/>
      <w:pgMar w:top="57" w:right="567" w:bottom="57" w:left="56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rbel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ind w:left="71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7" w:hanging="327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7" w:hanging="327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7" w:hanging="327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orbel" w:cs="Corbel" w:hAnsi="Corbel" w:eastAsia="Corbel"/>
      <w:b w:val="1"/>
      <w:bCs w:val="1"/>
      <w:i w:val="0"/>
      <w:iCs w:val="0"/>
      <w:caps w:val="0"/>
      <w:smallCaps w:val="0"/>
      <w:strike w:val="0"/>
      <w:dstrike w:val="0"/>
      <w:outline w:val="0"/>
      <w:color w:val="31479e"/>
      <w:spacing w:val="0"/>
      <w:kern w:val="0"/>
      <w:position w:val="0"/>
      <w:sz w:val="28"/>
      <w:szCs w:val="28"/>
      <w:u w:val="none" w:color="31479e"/>
      <w:vertAlign w:val="baseline"/>
      <w:lang w:val="da-DK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a-DK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dule">
  <a:themeElements>
    <a:clrScheme name="Modul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0000FF"/>
      </a:hlink>
      <a:folHlink>
        <a:srgbClr val="FF00FF"/>
      </a:folHlink>
    </a:clrScheme>
    <a:fontScheme name="Modul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50800" dist="25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480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orbel"/>
            <a:ea typeface="Corbel"/>
            <a:cs typeface="Corbel"/>
            <a:sym typeface="Corbe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480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50800" dist="25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orbel"/>
            <a:ea typeface="Corbel"/>
            <a:cs typeface="Corbel"/>
            <a:sym typeface="Corbe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