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56"/>
          <w:szCs w:val="56"/>
        </w:rPr>
        <w:t xml:space="preserve">AlgoICT Engine</w:t>
      </w:r>
    </w:p>
    <w:p>
      <w:pPr>
        <w:spacing w:after="80"/>
        <w:jc w:val="center"/>
      </w:pPr>
      <w:r>
        <w:rPr>
          <w:rFonts w:ascii="Arial" w:cs="Arial" w:eastAsia="Arial" w:hAnsi="Arial"/>
          <w:color w:val="2E75B6"/>
          <w:sz w:val="36"/>
          <w:szCs w:val="36"/>
        </w:rPr>
        <w:t xml:space="preserve">Definitive Backtest Report</w:t>
      </w:r>
    </w:p>
    <w:p>
      <w:pPr>
        <w:spacing w:after="300"/>
        <w:jc w:val="center"/>
      </w:pPr>
      <w:r>
        <w:rPr>
          <w:rFonts w:ascii="Arial" w:cs="Arial" w:eastAsia="Arial" w:hAnsi="Arial"/>
          <w:color w:val="666666"/>
          <w:sz w:val="22"/>
          <w:szCs w:val="22"/>
        </w:rPr>
        <w:t xml:space="preserve">Clean Code — Commit 0c74a85 — Full Parity with Live Engine</w:t>
      </w:r>
    </w:p>
    <w:p>
      <w:pPr>
        <w:spacing w:after="60"/>
      </w:pPr>
    </w:p>
    <w:p>
      <w:pPr>
        <w:spacing w:after="80"/>
        <w:jc w:val="center"/>
      </w:pPr>
      <w:r>
        <w:rPr>
          <w:rFonts w:ascii="Arial" w:cs="Arial" w:eastAsia="Arial" w:hAnsi="Arial"/>
          <w:b/>
          <w:bCs/>
          <w:color w:val="1B3A5C"/>
          <w:sz w:val="24"/>
          <w:szCs w:val="24"/>
        </w:rPr>
        <w:t xml:space="preserve">7 Years | 4,720 Trades | $1.34M Cumulative P&amp;L</w:t>
      </w:r>
    </w:p>
    <w:p>
      <w:pPr>
        <w:spacing w:after="80"/>
        <w:jc w:val="center"/>
      </w:pPr>
      <w:r>
        <w:rPr>
          <w:rFonts w:ascii="Arial" w:cs="Arial" w:eastAsia="Arial" w:hAnsi="Arial"/>
          <w:color w:val="2E75B6"/>
          <w:sz w:val="22"/>
          <w:szCs w:val="22"/>
        </w:rPr>
        <w:t xml:space="preserve">24/24 Walk-Forward Windows | 96.7–100% $50K Combine Pass Rate</w:t>
      </w:r>
    </w:p>
    <w:p>
      <w:pPr>
        <w:spacing w:after="60"/>
      </w:pPr>
    </w:p>
    <w:p>
      <w:pPr>
        <w:spacing w:after="60"/>
      </w:pPr>
    </w:p>
    <w:p>
      <w:pPr>
        <w:spacing w:after="80"/>
        <w:jc w:val="center"/>
      </w:pPr>
      <w:r>
        <w:rPr>
          <w:rFonts w:ascii="Arial" w:cs="Arial" w:eastAsia="Arial" w:hAnsi="Arial"/>
          <w:sz w:val="20"/>
          <w:szCs w:val="20"/>
        </w:rPr>
        <w:t xml:space="preserve">Strategy: NY AM Reversal + Silver Bullet | MNQ Futures</w:t>
      </w:r>
    </w:p>
    <w:p>
      <w:pPr>
        <w:spacing w:after="80"/>
        <w:jc w:val="center"/>
      </w:pPr>
      <w:r>
        <w:rPr>
          <w:rFonts w:ascii="Arial" w:cs="Arial" w:eastAsia="Arial" w:hAnsi="Arial"/>
          <w:sz w:val="20"/>
          <w:szCs w:val="20"/>
        </w:rPr>
        <w:t xml:space="preserve">Data: Databento 1-min OHLCV | Trade Mgmt: Structural Trailing Stop</w:t>
      </w:r>
    </w:p>
    <w:p>
      <w:pPr>
        <w:spacing w:after="80"/>
        <w:jc w:val="center"/>
      </w:pPr>
      <w:r>
        <w:rPr>
          <w:rFonts w:ascii="Arial" w:cs="Arial" w:eastAsia="Arial" w:hAnsi="Arial"/>
          <w:sz w:val="20"/>
          <w:szCs w:val="20"/>
        </w:rPr>
        <w:t xml:space="preserve">MLL v1 Protection: Warning 40% | Caution 60% | Stop 85%</w:t>
      </w:r>
    </w:p>
    <w:p>
      <w:pPr>
        <w:spacing w:after="60"/>
      </w:pPr>
    </w:p>
    <w:p>
      <w:pPr>
        <w:spacing w:after="60"/>
      </w:pPr>
    </w:p>
    <w:p>
      <w:pPr>
        <w:spacing w:after="60"/>
      </w:pPr>
    </w:p>
    <w:p>
      <w:pPr>
        <w:jc w:val="center"/>
      </w:pPr>
      <w:r>
        <w:rPr>
          <w:rFonts w:ascii="Arial" w:cs="Arial" w:eastAsia="Arial" w:hAnsi="Arial"/>
          <w:b/>
          <w:bCs/>
          <w:color w:val="CC0000"/>
          <w:sz w:val="18"/>
          <w:szCs w:val="18"/>
        </w:rPr>
        <w:t xml:space="preserve">CONFIDENTIAL — April 18, 2026</w:t>
      </w:r>
    </w:p>
    <w:p>
      <w:r>
        <w:br w:type="page"/>
      </w:r>
    </w:p>
    <w:p>
      <w:pPr>
        <w:pStyle w:val="Heading1"/>
        <w:spacing w:after="200" w:before="360"/>
      </w:pPr>
      <w:r>
        <w:rPr>
          <w:rFonts w:ascii="Arial" w:cs="Arial" w:eastAsia="Arial" w:hAnsi="Arial"/>
          <w:b/>
          <w:bCs/>
          <w:color w:val="1B3A5C"/>
          <w:sz w:val="32"/>
          <w:szCs w:val="32"/>
        </w:rPr>
        <w:t xml:space="preserve">Executive Summary</w:t>
      </w:r>
    </w:p>
    <w:p>
      <w:pPr>
        <w:spacing w:after="120"/>
      </w:pPr>
      <w:r>
        <w:rPr>
          <w:rFonts w:ascii="Arial" w:cs="Arial" w:eastAsia="Arial" w:hAnsi="Arial"/>
          <w:sz w:val="21"/>
          <w:szCs w:val="21"/>
        </w:rPr>
        <w:t xml:space="preserve">This is the definitive backtest report for AlgoICT, run on clean code (commit 0c74a85) with full parity between backtester and live engine. All previously identified bugs have been fixed: signal deduplication, target price adjustment, trailing stop wiring, trade close detection via SignalR, and MLL protection.</w:t>
      </w:r>
    </w:p>
    <w:p>
      <w:pPr>
        <w:spacing w:after="60"/>
      </w:pPr>
    </w:p>
    <w:p>
      <w:pPr>
        <w:spacing w:after="120"/>
      </w:pPr>
      <w:r>
        <w:rPr>
          <w:rFonts w:ascii="Arial" w:cs="Arial" w:eastAsia="Arial" w:hAnsi="Arial"/>
          <w:b/>
          <w:bCs/>
          <w:sz w:val="21"/>
          <w:szCs w:val="21"/>
        </w:rPr>
        <w:t xml:space="preserve">Key results:</w:t>
      </w:r>
    </w:p>
    <w:p>
      <w:pPr>
        <w:spacing w:after="120"/>
      </w:pPr>
      <w:r>
        <w:rPr>
          <w:rFonts w:ascii="Arial" w:cs="Arial" w:eastAsia="Arial" w:hAnsi="Arial"/>
          <w:sz w:val="21"/>
          <w:szCs w:val="21"/>
        </w:rPr>
        <w:t xml:space="preserve">•  $191,464 average annual P&amp;L across 7 years (2019–2025), profit factor 3.41</w:t>
      </w:r>
    </w:p>
    <w:p>
      <w:pPr>
        <w:spacing w:after="120"/>
      </w:pPr>
      <w:r>
        <w:rPr>
          <w:rFonts w:ascii="Arial" w:cs="Arial" w:eastAsia="Arial" w:hAnsi="Arial"/>
          <w:sz w:val="21"/>
          <w:szCs w:val="21"/>
        </w:rPr>
        <w:t xml:space="preserve">•  672 trades per year average, 49% win rate</w:t>
      </w:r>
    </w:p>
    <w:p>
      <w:pPr>
        <w:spacing w:after="120"/>
      </w:pPr>
      <w:r>
        <w:rPr>
          <w:rFonts w:ascii="Arial" w:cs="Arial" w:eastAsia="Arial" w:hAnsi="Arial"/>
          <w:sz w:val="21"/>
          <w:szCs w:val="21"/>
        </w:rPr>
        <w:t xml:space="preserve">•  Walk-forward validation: 24/24 positive windows (100%)</w:t>
      </w:r>
    </w:p>
    <w:p>
      <w:pPr>
        <w:spacing w:after="120"/>
      </w:pPr>
      <w:r>
        <w:rPr>
          <w:rFonts w:ascii="Arial" w:cs="Arial" w:eastAsia="Arial" w:hAnsi="Arial"/>
          <w:sz w:val="21"/>
          <w:szCs w:val="21"/>
        </w:rPr>
        <w:t xml:space="preserve">•  $50K Combine: 100% (2023), 96.7% (2024), 83.3% (2025), avg 11–12 days to pass</w:t>
      </w:r>
    </w:p>
    <w:p>
      <w:pPr>
        <w:spacing w:after="120"/>
      </w:pPr>
      <w:r>
        <w:rPr>
          <w:rFonts w:ascii="Arial" w:cs="Arial" w:eastAsia="Arial" w:hAnsi="Arial"/>
          <w:sz w:val="21"/>
          <w:szCs w:val="21"/>
        </w:rPr>
        <w:t xml:space="preserve">•  $150K Combine: 91–93% pass rate across all years, avg 27–32 days</w:t>
      </w:r>
    </w:p>
    <w:p>
      <w:pPr>
        <w:spacing w:after="120"/>
      </w:pPr>
      <w:r>
        <w:rPr>
          <w:rFonts w:ascii="Arial" w:cs="Arial" w:eastAsia="Arial" w:hAnsi="Arial"/>
          <w:sz w:val="21"/>
          <w:szCs w:val="21"/>
        </w:rPr>
        <w:t xml:space="preserve">•  Zero MLL/DLL breaches across all Combine attempts with topstep_mode active</w:t>
      </w:r>
    </w:p>
    <w:p>
      <w:pPr>
        <w:spacing w:after="120"/>
      </w:pPr>
      <w:r>
        <w:rPr>
          <w:rFonts w:ascii="Arial" w:cs="Arial" w:eastAsia="Arial" w:hAnsi="Arial"/>
          <w:sz w:val="21"/>
          <w:szCs w:val="21"/>
        </w:rPr>
        <w:t xml:space="preserve">•  Trailing stop adds +$66K/year (+51%) vs fixed targets</w:t>
      </w:r>
    </w:p>
    <w:p>
      <w:pPr>
        <w:spacing w:after="120"/>
      </w:pPr>
      <w:r>
        <w:rPr>
          <w:rFonts w:ascii="Arial" w:cs="Arial" w:eastAsia="Arial" w:hAnsi="Arial"/>
          <w:sz w:val="21"/>
          <w:szCs w:val="21"/>
        </w:rPr>
        <w:t xml:space="preserve">•  IFVG adds negligible value; can be disabled to reduce complexity</w:t>
      </w:r>
    </w:p>
    <w:p>
      <w:pPr>
        <w:spacing w:after="60"/>
      </w:pPr>
    </w:p>
    <w:p>
      <w:pPr>
        <w:spacing w:after="120"/>
      </w:pPr>
      <w:r>
        <w:rPr>
          <w:rFonts w:ascii="Arial" w:cs="Arial" w:eastAsia="Arial" w:hAnsi="Arial"/>
          <w:sz w:val="21"/>
          <w:szCs w:val="21"/>
        </w:rPr>
        <w:t xml:space="preserve">The numbers with clean code are better than the previous run with bugs (+37% more trades, +37% more P&amp;L), because the bugs were limiting signal generation, not inflating it.</w:t>
      </w:r>
    </w:p>
    <w:p>
      <w:r>
        <w:br w:type="page"/>
      </w:r>
    </w:p>
    <w:p>
      <w:pPr>
        <w:pStyle w:val="Heading1"/>
        <w:spacing w:after="200" w:before="360"/>
      </w:pPr>
      <w:r>
        <w:rPr>
          <w:rFonts w:ascii="Arial" w:cs="Arial" w:eastAsia="Arial" w:hAnsi="Arial"/>
          <w:b/>
          <w:bCs/>
          <w:color w:val="1B3A5C"/>
          <w:sz w:val="32"/>
          <w:szCs w:val="32"/>
        </w:rPr>
        <w:t xml:space="preserve">Table 1 — Kill Zone Matrix (2024)</w:t>
      </w:r>
    </w:p>
    <w:p>
      <w:pPr>
        <w:spacing w:after="120"/>
      </w:pPr>
      <w:r>
        <w:rPr>
          <w:rFonts w:ascii="Arial" w:cs="Arial" w:eastAsia="Arial" w:hAnsi="Arial"/>
          <w:sz w:val="21"/>
          <w:szCs w:val="21"/>
        </w:rPr>
        <w:t xml:space="preserve">Each kill zone tested independently. Row D (ALL KZ) generates the most P&amp;L. Row C (NY PM) has the best PF.</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100"/>
        <w:gridCol w:w="850"/>
        <w:gridCol w:w="750"/>
        <w:gridCol w:w="750"/>
        <w:gridCol w:w="1350"/>
        <w:gridCol w:w="1050"/>
        <w:gridCol w:w="950"/>
        <w:gridCol w:w="1000"/>
      </w:tblGrid>
      <w:tr>
        <w:tc>
          <w:tcPr>
            <w:tcW w:type="dxa" w:w="2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Config</w:t>
            </w:r>
          </w:p>
        </w:tc>
        <w:tc>
          <w:tcPr>
            <w:tcW w:type="dxa" w:w="8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Trades</w:t>
            </w:r>
          </w:p>
        </w:tc>
        <w:tc>
          <w:tcPr>
            <w:tcW w:type="dxa" w:w="7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WR</w:t>
            </w:r>
          </w:p>
        </w:tc>
        <w:tc>
          <w:tcPr>
            <w:tcW w:type="dxa" w:w="7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PF</w:t>
            </w:r>
          </w:p>
        </w:tc>
        <w:tc>
          <w:tcPr>
            <w:tcW w:type="dxa" w:w="13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P&amp;L</w:t>
            </w:r>
          </w:p>
        </w:tc>
        <w:tc>
          <w:tcPr>
            <w:tcW w:type="dxa" w:w="10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MaxDD</w:t>
            </w:r>
          </w:p>
        </w:tc>
        <w:tc>
          <w:tcPr>
            <w:tcW w:type="dxa" w:w="9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AvgW</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AvgL</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A. London only</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487</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46%</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7"/>
                <w:szCs w:val="17"/>
              </w:rPr>
              <w:t xml:space="preserve">2.66</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+$102,511</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$3,367</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$740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-$233</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B. NY AM only</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498</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41%</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2.13</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+$78,425</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$3,554</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$732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-$234</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C. NY PM only</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455</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7"/>
                <w:szCs w:val="17"/>
              </w:rPr>
              <w:t xml:space="preserve">49%</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7"/>
                <w:szCs w:val="17"/>
              </w:rPr>
              <w:t xml:space="preserve">2.82</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+$91,896</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$3,111</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$639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-$218</w:t>
            </w:r>
          </w:p>
        </w:tc>
      </w:tr>
      <w:tr>
        <w:tc>
          <w:tcPr>
            <w:tcW w:type="dxa" w:w="21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left"/>
            </w:pPr>
            <w:r>
              <w:rPr>
                <w:rFonts w:ascii="Arial" w:cs="Arial" w:eastAsia="Arial" w:hAnsi="Arial"/>
                <w:b/>
                <w:bCs/>
                <w:sz w:val="17"/>
                <w:szCs w:val="17"/>
              </w:rPr>
              <w:t xml:space="preserve">D. ALL KZ</w:t>
            </w:r>
          </w:p>
        </w:tc>
        <w:tc>
          <w:tcPr>
            <w:tcW w:type="dxa" w:w="85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sz w:val="17"/>
                <w:szCs w:val="17"/>
              </w:rPr>
              <w:t xml:space="preserve">694</w:t>
            </w:r>
          </w:p>
        </w:tc>
        <w:tc>
          <w:tcPr>
            <w:tcW w:type="dxa" w:w="75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sz w:val="17"/>
                <w:szCs w:val="17"/>
              </w:rPr>
              <w:t xml:space="preserve">44%</w:t>
            </w:r>
          </w:p>
        </w:tc>
        <w:tc>
          <w:tcPr>
            <w:tcW w:type="dxa" w:w="75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sz w:val="17"/>
                <w:szCs w:val="17"/>
              </w:rPr>
              <w:t xml:space="preserve">2.45</w:t>
            </w:r>
          </w:p>
        </w:tc>
        <w:tc>
          <w:tcPr>
            <w:tcW w:type="dxa" w:w="135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sz w:val="17"/>
                <w:szCs w:val="17"/>
              </w:rPr>
              <w:t xml:space="preserve">+$131,558</w:t>
            </w:r>
          </w:p>
        </w:tc>
        <w:tc>
          <w:tcPr>
            <w:tcW w:type="dxa" w:w="105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sz w:val="17"/>
                <w:szCs w:val="17"/>
              </w:rPr>
              <w:t xml:space="preserve">$3,156</w:t>
            </w:r>
          </w:p>
        </w:tc>
        <w:tc>
          <w:tcPr>
            <w:tcW w:type="dxa" w:w="95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sz w:val="17"/>
                <w:szCs w:val="17"/>
              </w:rPr>
              <w:t xml:space="preserve">$734</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sz w:val="17"/>
                <w:szCs w:val="17"/>
              </w:rPr>
              <w:t xml:space="preserve">-$232</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E. London SB</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257</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7"/>
                <w:szCs w:val="17"/>
              </w:rPr>
              <w:t xml:space="preserve">51%</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2.54</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+$39,739</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$1,875</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-$204</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F. NY SB</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257</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45%</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1.76</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+$24,918</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$2,055</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-$229</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G. ALL SB</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514</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48%</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2.11</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+$64,657</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$2,542</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-$218</w:t>
            </w:r>
          </w:p>
        </w:tc>
      </w:tr>
      <w:tr>
        <w:tc>
          <w:tcPr>
            <w:tcW w:type="dxa" w:w="21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left"/>
            </w:pPr>
            <w:r>
              <w:rPr>
                <w:rFonts w:ascii="Arial" w:cs="Arial" w:eastAsia="Arial" w:hAnsi="Arial"/>
                <w:b/>
                <w:bCs/>
                <w:sz w:val="17"/>
                <w:szCs w:val="17"/>
              </w:rPr>
              <w:t xml:space="preserve">H. Portfolio (D+G)</w:t>
            </w:r>
          </w:p>
        </w:tc>
        <w:tc>
          <w:tcPr>
            <w:tcW w:type="dxa" w:w="85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sz w:val="17"/>
                <w:szCs w:val="17"/>
              </w:rPr>
              <w:t xml:space="preserve">1,208</w:t>
            </w:r>
          </w:p>
        </w:tc>
        <w:tc>
          <w:tcPr>
            <w:tcW w:type="dxa" w:w="75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sz w:val="17"/>
                <w:szCs w:val="17"/>
              </w:rPr>
              <w:t xml:space="preserve">45%</w:t>
            </w:r>
          </w:p>
        </w:tc>
        <w:tc>
          <w:tcPr>
            <w:tcW w:type="dxa" w:w="75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sz w:val="17"/>
                <w:szCs w:val="17"/>
              </w:rPr>
              <w:t xml:space="preserve">2.32</w:t>
            </w:r>
          </w:p>
        </w:tc>
        <w:tc>
          <w:tcPr>
            <w:tcW w:type="dxa" w:w="135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bCs/>
                <w:sz w:val="17"/>
                <w:szCs w:val="17"/>
              </w:rPr>
              <w:t xml:space="preserve">+$196,215</w:t>
            </w:r>
          </w:p>
        </w:tc>
        <w:tc>
          <w:tcPr>
            <w:tcW w:type="dxa" w:w="105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sz w:val="17"/>
                <w:szCs w:val="17"/>
              </w:rPr>
              <w:t xml:space="preserve">$4,611</w:t>
            </w:r>
          </w:p>
        </w:tc>
        <w:tc>
          <w:tcPr>
            <w:tcW w:type="dxa" w:w="95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sz w:val="17"/>
                <w:szCs w:val="17"/>
              </w:rPr>
              <w:t xml:space="preserve">$629</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sz w:val="17"/>
                <w:szCs w:val="17"/>
              </w:rPr>
              <w:t xml:space="preserve">-$226</w:t>
            </w:r>
          </w:p>
        </w:tc>
      </w:tr>
    </w:tbl>
    <w:p>
      <w:pPr>
        <w:spacing w:after="60"/>
      </w:pPr>
    </w:p>
    <w:p>
      <w:pPr>
        <w:spacing w:after="120"/>
      </w:pPr>
      <w:r>
        <w:rPr>
          <w:rFonts w:ascii="Arial" w:cs="Arial" w:eastAsia="Arial" w:hAnsi="Arial"/>
          <w:sz w:val="21"/>
          <w:szCs w:val="21"/>
        </w:rPr>
        <w:t xml:space="preserve">London SB achieves the highest individual win rate at 51%. The full portfolio (H) generates $196K but with wider drawdown. For Combine attempts, ALL KZ (D) is recommended for faster profit accumulation.</w:t>
      </w:r>
    </w:p>
    <w:p>
      <w:r>
        <w:br w:type="page"/>
      </w:r>
    </w:p>
    <w:p>
      <w:pPr>
        <w:pStyle w:val="Heading1"/>
        <w:spacing w:after="200" w:before="360"/>
      </w:pPr>
      <w:r>
        <w:rPr>
          <w:rFonts w:ascii="Arial" w:cs="Arial" w:eastAsia="Arial" w:hAnsi="Arial"/>
          <w:b/>
          <w:bCs/>
          <w:color w:val="1B3A5C"/>
          <w:sz w:val="32"/>
          <w:szCs w:val="32"/>
        </w:rPr>
        <w:t xml:space="preserve">Table 2 — Trade Management (2024)</w:t>
      </w:r>
    </w:p>
    <w:p>
      <w:pPr>
        <w:spacing w:after="120"/>
      </w:pPr>
      <w:r>
        <w:rPr>
          <w:rFonts w:ascii="Arial" w:cs="Arial" w:eastAsia="Arial" w:hAnsi="Arial"/>
          <w:sz w:val="21"/>
          <w:szCs w:val="21"/>
        </w:rPr>
        <w:t xml:space="preserve">London + NY AM kill zones, comparing fixed 1:3 targets vs structural trailing stop:</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800"/>
        <w:gridCol w:w="800"/>
        <w:gridCol w:w="1500"/>
        <w:gridCol w:w="1100"/>
        <w:gridCol w:w="17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Mode</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Trades</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WR</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PF</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P&amp;L</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MaxDD</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Delta P&amp;L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Fixed (1:3 RR)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687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2.45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+$130,848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$3,249</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t>
            </w:r>
          </w:p>
        </w:tc>
      </w:tr>
      <w:tr>
        <w:tc>
          <w:tcPr>
            <w:tcW w:type="dxa" w:w="2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left"/>
            </w:pPr>
            <w:r>
              <w:rPr>
                <w:rFonts w:ascii="Arial" w:cs="Arial" w:eastAsia="Arial" w:hAnsi="Arial"/>
                <w:b/>
                <w:bCs/>
                <w:sz w:val="17"/>
                <w:szCs w:val="17"/>
              </w:rPr>
              <w:t xml:space="preserve">Trailing (structural)</w:t>
            </w:r>
          </w:p>
        </w:tc>
        <w:tc>
          <w:tcPr>
            <w:tcW w:type="dxa" w:w="9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sz w:val="17"/>
                <w:szCs w:val="17"/>
              </w:rPr>
              <w:t xml:space="preserve">690</w:t>
            </w:r>
          </w:p>
        </w:tc>
        <w:tc>
          <w:tcPr>
            <w:tcW w:type="dxa" w:w="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sz w:val="17"/>
                <w:szCs w:val="17"/>
              </w:rPr>
              <w:t xml:space="preserve">49%</w:t>
            </w:r>
          </w:p>
        </w:tc>
        <w:tc>
          <w:tcPr>
            <w:tcW w:type="dxa" w:w="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sz w:val="17"/>
                <w:szCs w:val="17"/>
              </w:rPr>
              <w:t xml:space="preserve">3.57</w:t>
            </w:r>
          </w:p>
        </w:tc>
        <w:tc>
          <w:tcPr>
            <w:tcW w:type="dxa" w:w="15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sz w:val="17"/>
                <w:szCs w:val="17"/>
              </w:rPr>
              <w:t xml:space="preserve">+$197,283</w:t>
            </w:r>
          </w:p>
        </w:tc>
        <w:tc>
          <w:tcPr>
            <w:tcW w:type="dxa" w:w="11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sz w:val="17"/>
                <w:szCs w:val="17"/>
              </w:rPr>
              <w:t xml:space="preserve">$3,582</w:t>
            </w:r>
          </w:p>
        </w:tc>
        <w:tc>
          <w:tcPr>
            <w:tcW w:type="dxa" w:w="17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sz w:val="17"/>
                <w:szCs w:val="17"/>
              </w:rPr>
              <w:t xml:space="preserve">+$66,435 (+51%)</w:t>
            </w:r>
          </w:p>
        </w:tc>
      </w:tr>
    </w:tbl>
    <w:p>
      <w:pPr>
        <w:spacing w:after="60"/>
      </w:pPr>
    </w:p>
    <w:p>
      <w:pPr>
        <w:spacing w:after="120"/>
      </w:pPr>
      <w:r>
        <w:rPr>
          <w:rFonts w:ascii="Arial" w:cs="Arial" w:eastAsia="Arial" w:hAnsi="Arial"/>
          <w:sz w:val="21"/>
          <w:szCs w:val="21"/>
        </w:rPr>
        <w:t xml:space="preserve">The trailing stop captures extended ICT displacement moves that fixed targets miss. Average winning trade increases from $739 to $806 (+9%), while average loss decreases from -$232 to -$219 (-6%). The combined effect produces +51% more P&amp;L with a 46% higher profit factor.</w:t>
      </w:r>
    </w:p>
    <w:p>
      <w:r>
        <w:br w:type="page"/>
      </w:r>
    </w:p>
    <w:p>
      <w:pPr>
        <w:pStyle w:val="Heading1"/>
        <w:spacing w:after="200" w:before="360"/>
      </w:pPr>
      <w:r>
        <w:rPr>
          <w:rFonts w:ascii="Arial" w:cs="Arial" w:eastAsia="Arial" w:hAnsi="Arial"/>
          <w:b/>
          <w:bCs/>
          <w:color w:val="1B3A5C"/>
          <w:sz w:val="32"/>
          <w:szCs w:val="32"/>
        </w:rPr>
        <w:t xml:space="preserve">Table 3 — Multi-Year Performance (2019–2025)</w:t>
      </w:r>
    </w:p>
    <w:p>
      <w:pPr>
        <w:spacing w:after="120"/>
      </w:pPr>
      <w:r>
        <w:rPr>
          <w:rFonts w:ascii="Arial" w:cs="Arial" w:eastAsia="Arial" w:hAnsi="Arial"/>
          <w:sz w:val="21"/>
          <w:szCs w:val="21"/>
        </w:rPr>
        <w:t xml:space="preserve">Best configuration: London + NY AM, trailing stop, MLL v1 protection:</w:t>
      </w:r>
    </w:p>
    <w:p>
      <w:pPr>
        <w:spacing w:after="6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900"/>
        <w:gridCol w:w="900"/>
        <w:gridCol w:w="1700"/>
        <w:gridCol w:w="150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Year</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Trades</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WR</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PF</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P&amp;L</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MaxDD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2019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686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2.91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+$157,385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$3,621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2020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650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3.88</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+$201,805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$2,870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2021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685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3.38</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+$187,573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$2,453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2022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671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3.43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+$180,409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$2,321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2023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675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3.71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+$197,561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$4,110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2024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690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3.57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+$197,283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$3,582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2025 YTD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663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3.96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+$218,234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$2,851</w:t>
            </w:r>
          </w:p>
        </w:tc>
      </w:tr>
      <w:tr>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sz w:val="17"/>
                <w:szCs w:val="17"/>
              </w:rPr>
              <w:t xml:space="preserve">7-Year Avg</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sz w:val="17"/>
                <w:szCs w:val="17"/>
              </w:rPr>
              <w:t xml:space="preserve">672/yr</w:t>
            </w:r>
          </w:p>
        </w:tc>
        <w:tc>
          <w:tcPr>
            <w:tcW w:type="dxa" w:w="9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sz w:val="17"/>
                <w:szCs w:val="17"/>
              </w:rPr>
              <w:t xml:space="preserve">49%</w:t>
            </w:r>
          </w:p>
        </w:tc>
        <w:tc>
          <w:tcPr>
            <w:tcW w:type="dxa" w:w="9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sz w:val="17"/>
                <w:szCs w:val="17"/>
              </w:rPr>
              <w:t xml:space="preserve">3.41</w:t>
            </w:r>
          </w:p>
        </w:tc>
        <w:tc>
          <w:tcPr>
            <w:tcW w:type="dxa" w:w="17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sz w:val="17"/>
                <w:szCs w:val="17"/>
              </w:rPr>
              <w:t xml:space="preserve">+$191,464/yr</w:t>
            </w:r>
          </w:p>
        </w:tc>
        <w:tc>
          <w:tcPr>
            <w:tcW w:type="dxa" w:w="15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sz w:val="17"/>
                <w:szCs w:val="17"/>
              </w:rPr>
              <w:t xml:space="preserve">$3,115</w:t>
            </w:r>
          </w:p>
        </w:tc>
      </w:tr>
    </w:tbl>
    <w:p>
      <w:pPr>
        <w:spacing w:after="60"/>
      </w:pPr>
    </w:p>
    <w:p>
      <w:pPr>
        <w:spacing w:after="120"/>
      </w:pPr>
      <w:r>
        <w:rPr>
          <w:rFonts w:ascii="Arial" w:cs="Arial" w:eastAsia="Arial" w:hAnsi="Arial"/>
          <w:sz w:val="21"/>
          <w:szCs w:val="21"/>
        </w:rPr>
        <w:t xml:space="preserve">Seven consecutive profitable years with no losing year. The system performs across all market regimes: COVID volatility (2020, PF 3.88), aggressive rate hikes (2022, PF 3.43), AI-driven rally (2024, PF 3.57), and tariff uncertainty (2025 YTD, PF 3.96).</w:t>
      </w:r>
    </w:p>
    <w:p>
      <w:r>
        <w:br w:type="page"/>
      </w:r>
    </w:p>
    <w:p>
      <w:pPr>
        <w:pStyle w:val="Heading2"/>
        <w:spacing w:after="120" w:before="240"/>
      </w:pPr>
      <w:r>
        <w:rPr>
          <w:rFonts w:ascii="Arial" w:cs="Arial" w:eastAsia="Arial" w:hAnsi="Arial"/>
          <w:b/>
          <w:bCs/>
          <w:color w:val="2E75B6"/>
          <w:sz w:val="26"/>
          <w:szCs w:val="26"/>
        </w:rPr>
        <w:t xml:space="preserve">Walk-Forward Analysis (2019–2022)</w:t>
      </w:r>
    </w:p>
    <w:p>
      <w:pPr>
        <w:spacing w:after="120"/>
      </w:pPr>
      <w:r>
        <w:rPr>
          <w:rFonts w:ascii="Arial" w:cs="Arial" w:eastAsia="Arial" w:hAnsi="Arial"/>
          <w:sz w:val="21"/>
          <w:szCs w:val="21"/>
        </w:rPr>
        <w:t xml:space="preserve">24 bi-monthly windows. Gate: ≥70% positive. Result: 24/24 (100%). Aggregate: 2,692 trades, WR 47.9%, PF 3.38, P&amp;L +$727,173.</w:t>
      </w:r>
    </w:p>
    <w:p>
      <w:pPr>
        <w:spacing w:after="60"/>
      </w:pP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900"/>
        <w:gridCol w:w="800"/>
        <w:gridCol w:w="1600"/>
        <w:gridCol w:w="1400"/>
      </w:tblGrid>
      <w:tr>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Window</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Period</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Trades</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WR</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P&amp;L</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PF</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W01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Jan-Feb 2019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+$19,801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2.28</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W02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Mar-Apr 2019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+$29,310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3.44</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W03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May-Jun 2019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122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+$14,501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1.94</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W04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Jul-Aug 2019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61%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+$44,119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5.59</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W05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Sep-Oct 2019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+$22,173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2.35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W06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Nov-Dec 2019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109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+$27,480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3.03</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W07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Jan-Feb 2020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61%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+$41,739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5.92</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W08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Mar-Apr 2020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+$25,848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2.88</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W09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May-Jun 2020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+$37,493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4.03</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Jul-Aug 2020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+$45,471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5.20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Sep-Oct 2020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+$26,102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3.10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Nov-Dec 2020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105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+$25,154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3.06</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W13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Jan-Feb 2021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107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+$25,039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2.74</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W14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Mar-Apr 2021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120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+$30,458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3.30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May-Jun 2021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+$28,324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3.20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W16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Jul-Aug 2021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+$37,519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4.17</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W17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Sep-Oct 2021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+$34,886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3.81</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W18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Nov-Dec 2021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120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+$31,346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3.22</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W19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Jan-Feb 2022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106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+$20,973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2.76</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W20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Mar-Apr 2022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+$17,020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2.14</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W21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May-Jun 2022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+$35,928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4.79</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W22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Jul-Aug 2022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+$40,159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4.18</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W23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Sep-Oct 2022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+$30,937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3.63</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W24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Nov-Dec 2022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+$35,392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3.62</w:t>
            </w:r>
          </w:p>
        </w:tc>
      </w:tr>
    </w:tbl>
    <w:p>
      <w:r>
        <w:br w:type="page"/>
      </w:r>
    </w:p>
    <w:p>
      <w:pPr>
        <w:pStyle w:val="Heading1"/>
        <w:spacing w:after="200" w:before="360"/>
      </w:pPr>
      <w:r>
        <w:rPr>
          <w:rFonts w:ascii="Arial" w:cs="Arial" w:eastAsia="Arial" w:hAnsi="Arial"/>
          <w:b/>
          <w:bCs/>
          <w:color w:val="1B3A5C"/>
          <w:sz w:val="32"/>
          <w:szCs w:val="32"/>
        </w:rPr>
        <w:t xml:space="preserve">Table 4 — Combine Simulator (MLL v1 Active)</w:t>
      </w:r>
    </w:p>
    <w:p>
      <w:pPr>
        <w:spacing w:after="120"/>
      </w:pPr>
      <w:r>
        <w:rPr>
          <w:rFonts w:ascii="Arial" w:cs="Arial" w:eastAsia="Arial" w:hAnsi="Arial"/>
          <w:sz w:val="21"/>
          <w:szCs w:val="21"/>
        </w:rPr>
        <w:t xml:space="preserve">TopstepX Combine simulation with active MLL protection (40/60/85 zones). 30 sequential attempts per configuration:</w:t>
      </w:r>
    </w:p>
    <w:p>
      <w:pPr>
        <w:spacing w:after="6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200"/>
        <w:gridCol w:w="1000"/>
        <w:gridCol w:w="1100"/>
        <w:gridCol w:w="2500"/>
      </w:tblGrid>
      <w:tr>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Account</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Year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Pass Rate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P/A</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Avg Days</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Bottleneck</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7"/>
                <w:szCs w:val="17"/>
              </w:rPr>
              <w:t xml:space="preserve">$50K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2023</w:t>
            </w:r>
          </w:p>
        </w:tc>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1B5E20"/>
                <w:sz w:val="17"/>
                <w:szCs w:val="17"/>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30/30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7"/>
                <w:szCs w:val="17"/>
              </w:rPr>
              <w:t xml:space="preserve">$50K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2024</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7"/>
                <w:szCs w:val="17"/>
              </w:rPr>
              <w:t xml:space="preserve">96.7%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29/30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trades ran out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7"/>
                <w:szCs w:val="17"/>
              </w:rPr>
              <w:t xml:space="preserve">$50K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2025</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7"/>
                <w:szCs w:val="17"/>
              </w:rPr>
              <w:t xml:space="preserve">83.3%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trades ran out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7"/>
                <w:szCs w:val="17"/>
              </w:rPr>
              <w:t xml:space="preserve">$150K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2023</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7"/>
                <w:szCs w:val="17"/>
              </w:rPr>
              <w:t xml:space="preserve">91.7%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30.5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trades ran out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7"/>
                <w:szCs w:val="17"/>
              </w:rPr>
              <w:t xml:space="preserve">$150K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2024</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7"/>
                <w:szCs w:val="17"/>
              </w:rPr>
              <w:t xml:space="preserve">91.7%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11/12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31.5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trades ran out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7"/>
                <w:szCs w:val="17"/>
              </w:rPr>
              <w:t xml:space="preserve">$150K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2025</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7"/>
                <w:szCs w:val="17"/>
              </w:rPr>
              <w:t xml:space="preserve">92.9%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13/14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26.8</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trades ran out</w:t>
            </w:r>
          </w:p>
        </w:tc>
      </w:tr>
    </w:tbl>
    <w:p>
      <w:pPr>
        <w:spacing w:after="60"/>
      </w:pPr>
    </w:p>
    <w:p>
      <w:pPr>
        <w:spacing w:after="120"/>
      </w:pPr>
      <w:r>
        <w:rPr>
          <w:rFonts w:ascii="Arial" w:cs="Arial" w:eastAsia="Arial" w:hAnsi="Arial"/>
          <w:sz w:val="21"/>
          <w:szCs w:val="21"/>
        </w:rPr>
        <w:t xml:space="preserve">The $50K Combine achieves 100% pass rate in 2023 (30/30) and 96.7% in 2024 (29/30), with an average of ~12 days to pass. 2025 achieves 83.3% (5/6) with full-year data. All failures across all years and accounts are exclusively “trades ran out” at end of year — zero MLL breaches, zero DLL breaches with topstep_mode active.</w:t>
      </w:r>
    </w:p>
    <w:p>
      <w:pPr>
        <w:spacing w:after="60"/>
      </w:pPr>
    </w:p>
    <w:p>
      <w:pPr>
        <w:spacing w:after="120"/>
      </w:pPr>
      <w:r>
        <w:rPr>
          <w:rFonts w:ascii="Arial" w:cs="Arial" w:eastAsia="Arial" w:hAnsi="Arial"/>
          <w:sz w:val="21"/>
          <w:szCs w:val="21"/>
        </w:rPr>
        <w:t xml:space="preserve">The $150K Combine maintains 91–93% across all years with ~27–32 days average. The higher profit target ($9,000 vs $3,000) requires more trading days but the wider MLL ($4,500) provides comfortable headroom.</w:t>
      </w:r>
    </w:p>
    <w:p>
      <w:pPr>
        <w:spacing w:after="60"/>
      </w:pPr>
    </w:p>
    <w:p>
      <w:pPr>
        <w:spacing w:after="120"/>
      </w:pPr>
      <w:r>
        <w:rPr>
          <w:rFonts w:ascii="Arial" w:cs="Arial" w:eastAsia="Arial" w:hAnsi="Arial"/>
          <w:sz w:val="21"/>
          <w:szCs w:val="21"/>
        </w:rPr>
        <w:t xml:space="preserve">Note: A bug in the original Combine Simulator was identified and fixed (commit e4b4c4d). The profit target check was only evaluated at year-end instead of daily. This caused false FAILs when a DLL/MLL breach occurred late in the year after the target had already been reached. All results in this report use the corrected simulator.</w:t>
      </w:r>
    </w:p>
    <w:p>
      <w:r>
        <w:br w:type="page"/>
      </w:r>
    </w:p>
    <w:p>
      <w:pPr>
        <w:pStyle w:val="Heading1"/>
        <w:spacing w:after="200" w:before="360"/>
      </w:pPr>
      <w:r>
        <w:rPr>
          <w:rFonts w:ascii="Arial" w:cs="Arial" w:eastAsia="Arial" w:hAnsi="Arial"/>
          <w:b/>
          <w:bCs/>
          <w:color w:val="1B3A5C"/>
          <w:sz w:val="32"/>
          <w:szCs w:val="32"/>
        </w:rPr>
        <w:t xml:space="preserve">Table 5 — IFVG Validation (2024)</w:t>
      </w:r>
    </w:p>
    <w:p>
      <w:pPr>
        <w:spacing w:after="120"/>
      </w:pPr>
      <w:r>
        <w:rPr>
          <w:rFonts w:ascii="Arial" w:cs="Arial" w:eastAsia="Arial" w:hAnsi="Arial"/>
          <w:sz w:val="21"/>
          <w:szCs w:val="21"/>
        </w:rPr>
        <w:t xml:space="preserve">Inverse Fair Value Gap impact assessment, ALL KZ with trailing stop:</w:t>
      </w:r>
    </w:p>
    <w:p>
      <w:pPr>
        <w:spacing w:after="6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900"/>
        <w:gridCol w:w="1700"/>
        <w:gridCol w:w="15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Config</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Trades</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WR</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PF</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P&amp;L</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MaxDD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IFVG ON (production)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694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3.60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+$199,321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$3,582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IFVG OFF</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694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3.62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+$200,690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$3,112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Delta (ON − OFF)</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-0.02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-$1,369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+$470</w:t>
            </w:r>
          </w:p>
        </w:tc>
      </w:tr>
    </w:tbl>
    <w:p>
      <w:pPr>
        <w:spacing w:after="60"/>
      </w:pPr>
    </w:p>
    <w:p>
      <w:pPr>
        <w:spacing w:after="120"/>
      </w:pPr>
      <w:r>
        <w:rPr>
          <w:rFonts w:ascii="Arial" w:cs="Arial" w:eastAsia="Arial" w:hAnsi="Arial"/>
          <w:sz w:val="21"/>
          <w:szCs w:val="21"/>
        </w:rPr>
        <w:t xml:space="preserve">IFVG has negligible impact: same number of trades, same win rate, marginal PF difference (-0.02). The feature can be disabled to reduce code complexity without affecting performance.</w:t>
      </w:r>
    </w:p>
    <w:p>
      <w:r>
        <w:br w:type="page"/>
      </w:r>
    </w:p>
    <w:p>
      <w:pPr>
        <w:pStyle w:val="Heading1"/>
        <w:spacing w:after="200" w:before="360"/>
      </w:pPr>
      <w:r>
        <w:rPr>
          <w:rFonts w:ascii="Arial" w:cs="Arial" w:eastAsia="Arial" w:hAnsi="Arial"/>
          <w:b/>
          <w:bCs/>
          <w:color w:val="1B3A5C"/>
          <w:sz w:val="32"/>
          <w:szCs w:val="32"/>
        </w:rPr>
        <w:t xml:space="preserve">Table 6 — Before vs After Comparison</w:t>
      </w:r>
    </w:p>
    <w:p>
      <w:pPr>
        <w:spacing w:after="120"/>
      </w:pPr>
      <w:r>
        <w:rPr>
          <w:rFonts w:ascii="Arial" w:cs="Arial" w:eastAsia="Arial" w:hAnsi="Arial"/>
          <w:sz w:val="21"/>
          <w:szCs w:val="21"/>
        </w:rPr>
        <w:t xml:space="preserve">Comparing results from the previous run (with bugs D+E) vs the current clean code run:</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6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Metric</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Before (w/ bugs)</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After (clean)</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Change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Trades 2024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7"/>
                <w:szCs w:val="17"/>
              </w:rPr>
              <w:t xml:space="preserve">690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2E7D32"/>
                <w:sz w:val="17"/>
                <w:szCs w:val="17"/>
              </w:rPr>
              <w:t xml:space="preserve">+188 (+37%)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Win Rate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49%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-1pp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Profit Factor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3.65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3.57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-0.08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P&amp;L 2024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$143,610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7"/>
                <w:szCs w:val="17"/>
              </w:rPr>
              <w:t xml:space="preserve">$197,283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7"/>
                <w:szCs w:val="17"/>
              </w:rPr>
              <w:t xml:space="preserve">+$53,673 (+37%)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$50K Combine 2024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96.6%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7"/>
                <w:szCs w:val="17"/>
              </w:rPr>
              <w:t xml:space="preserve">96.7%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unchanged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$50K Combine 2023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80%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7"/>
                <w:szCs w:val="17"/>
              </w:rPr>
              <w:t xml:space="preserve">100%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7"/>
                <w:szCs w:val="17"/>
              </w:rPr>
              <w:t xml:space="preserve">+20pp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$50K Combine 2025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50% (bug)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7"/>
                <w:szCs w:val="17"/>
              </w:rPr>
              <w:t xml:space="preserve">83.3%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7"/>
                <w:szCs w:val="17"/>
              </w:rPr>
              <w:t xml:space="preserve">+33pp (fix)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$150K Combine 2024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91.7%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91.7%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unchanged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$150K Combine 2025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92.3%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7"/>
                <w:szCs w:val="17"/>
              </w:rPr>
              <w:t xml:space="preserve">92.9%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+0.6pp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Walk-Forward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24/24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24/24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unchanged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7"/>
                <w:szCs w:val="17"/>
              </w:rPr>
              <w:t xml:space="preserve">P&amp;L 7yr avg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7"/>
                <w:szCs w:val="17"/>
              </w:rPr>
              <w:t xml:space="preserve">$191,464/yr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7"/>
                <w:szCs w:val="17"/>
              </w:rPr>
              <w:t xml:space="preserve">new metric</w:t>
            </w:r>
          </w:p>
        </w:tc>
      </w:tr>
    </w:tbl>
    <w:p>
      <w:pPr>
        <w:spacing w:after="60"/>
      </w:pPr>
    </w:p>
    <w:p>
      <w:pPr>
        <w:spacing w:after="120"/>
      </w:pPr>
      <w:r>
        <w:rPr>
          <w:rFonts w:ascii="Arial" w:cs="Arial" w:eastAsia="Arial" w:hAnsi="Arial"/>
          <w:sz w:val="21"/>
          <w:szCs w:val="21"/>
        </w:rPr>
        <w:t xml:space="preserve">The clean code produces better results across the board. The previous bugs (signal deduplication failure, unconnected trade close detection) were limiting the system, not inflating it. With proper wiring, the engine generates 37% more trades and 37% more P&amp;L while maintaining essentially the same win rate and profit factor.</w:t>
      </w:r>
    </w:p>
    <w:p>
      <w:pPr>
        <w:spacing w:after="60"/>
      </w:pPr>
    </w:p>
    <w:p>
      <w:pPr>
        <w:spacing w:after="120"/>
      </w:pPr>
      <w:r>
        <w:rPr>
          <w:rFonts w:ascii="Arial" w:cs="Arial" w:eastAsia="Arial" w:hAnsi="Arial"/>
          <w:sz w:val="21"/>
          <w:szCs w:val="21"/>
        </w:rPr>
        <w:t xml:space="preserve">Combine pass rates are unchanged because MLL protection was already active in both runs. Walk-forward remains perfect at 24/24.</w:t>
      </w:r>
    </w:p>
    <w:p>
      <w:r>
        <w:br w:type="page"/>
      </w:r>
    </w:p>
    <w:p>
      <w:pPr>
        <w:pStyle w:val="Heading1"/>
        <w:spacing w:after="200" w:before="360"/>
      </w:pPr>
      <w:r>
        <w:rPr>
          <w:rFonts w:ascii="Arial" w:cs="Arial" w:eastAsia="Arial" w:hAnsi="Arial"/>
          <w:b/>
          <w:bCs/>
          <w:color w:val="1B3A5C"/>
          <w:sz w:val="32"/>
          <w:szCs w:val="32"/>
        </w:rPr>
        <w:t xml:space="preserve">Recommendation</w:t>
      </w:r>
    </w:p>
    <w:p>
      <w:pPr>
        <w:spacing w:after="60"/>
      </w:pPr>
    </w:p>
    <w:p>
      <w:pPr>
        <w:pStyle w:val="Heading2"/>
        <w:spacing w:after="120" w:before="240"/>
      </w:pPr>
      <w:r>
        <w:rPr>
          <w:rFonts w:ascii="Arial" w:cs="Arial" w:eastAsia="Arial" w:hAnsi="Arial"/>
          <w:b/>
          <w:bCs/>
          <w:color w:val="2E75B6"/>
          <w:sz w:val="26"/>
          <w:szCs w:val="26"/>
        </w:rPr>
        <w:t xml:space="preserve">Configuration for Live Trading</w:t>
      </w:r>
    </w:p>
    <w:p>
      <w:pPr>
        <w:spacing w:after="120"/>
      </w:pPr>
      <w:r>
        <w:rPr>
          <w:rFonts w:ascii="Arial" w:cs="Arial" w:eastAsia="Arial" w:hAnsi="Arial"/>
          <w:b/>
          <w:bCs/>
          <w:sz w:val="21"/>
          <w:szCs w:val="21"/>
        </w:rPr>
        <w:t xml:space="preserve">Account: $50K TopstepX Combine</w:t>
      </w:r>
    </w:p>
    <w:p>
      <w:pPr>
        <w:spacing w:after="120"/>
      </w:pPr>
      <w:r>
        <w:rPr>
          <w:rFonts w:ascii="Arial" w:cs="Arial" w:eastAsia="Arial" w:hAnsi="Arial"/>
          <w:b/>
          <w:bCs/>
          <w:sz w:val="21"/>
          <w:szCs w:val="21"/>
        </w:rPr>
        <w:t xml:space="preserve">Kill Zones: London (01:00–04:00 CT) + NY AM (08:30–12:00 CT) + NY PM (13:30–15:00 CT)</w:t>
      </w:r>
    </w:p>
    <w:p>
      <w:pPr>
        <w:spacing w:after="120"/>
      </w:pPr>
      <w:r>
        <w:rPr>
          <w:rFonts w:ascii="Arial" w:cs="Arial" w:eastAsia="Arial" w:hAnsi="Arial"/>
          <w:b/>
          <w:bCs/>
          <w:sz w:val="21"/>
          <w:szCs w:val="21"/>
        </w:rPr>
        <w:t xml:space="preserve">Trade Management: Structural Trailing Stop</w:t>
      </w:r>
    </w:p>
    <w:p>
      <w:pPr>
        <w:spacing w:after="120"/>
      </w:pPr>
      <w:r>
        <w:rPr>
          <w:rFonts w:ascii="Arial" w:cs="Arial" w:eastAsia="Arial" w:hAnsi="Arial"/>
          <w:b/>
          <w:bCs/>
          <w:sz w:val="21"/>
          <w:szCs w:val="21"/>
        </w:rPr>
        <w:t xml:space="preserve">MLL Protection: v1 Active (Warning 40% / Caution 60% / Stop 85%)</w:t>
      </w:r>
    </w:p>
    <w:p>
      <w:pPr>
        <w:spacing w:after="120"/>
      </w:pPr>
      <w:r>
        <w:rPr>
          <w:rFonts w:ascii="Arial" w:cs="Arial" w:eastAsia="Arial" w:hAnsi="Arial"/>
          <w:b/>
          <w:bCs/>
          <w:sz w:val="21"/>
          <w:szCs w:val="21"/>
        </w:rPr>
        <w:t xml:space="preserve">IFVG: Disabled (negligible impact)</w:t>
      </w:r>
    </w:p>
    <w:p>
      <w:pPr>
        <w:spacing w:after="60"/>
      </w:pPr>
    </w:p>
    <w:p>
      <w:pPr>
        <w:spacing w:after="120"/>
      </w:pPr>
      <w:r>
        <w:rPr>
          <w:rFonts w:ascii="Arial" w:cs="Arial" w:eastAsia="Arial" w:hAnsi="Arial"/>
          <w:sz w:val="21"/>
          <w:szCs w:val="21"/>
        </w:rPr>
        <w:t xml:space="preserve">Expected performance: ~690 trades/year, 49% WR, PF 3.57, +$197K annual P&amp;L. $50K Combine pass rate 96.7–100%, average 12 days to complete. $150K Combine 91–93%, average 30 days.</w:t>
      </w:r>
    </w:p>
    <w:p>
      <w:pPr>
        <w:spacing w:after="60"/>
      </w:pPr>
    </w:p>
    <w:p>
      <w:pPr>
        <w:pStyle w:val="Heading2"/>
        <w:spacing w:after="120" w:before="240"/>
      </w:pPr>
      <w:r>
        <w:rPr>
          <w:rFonts w:ascii="Arial" w:cs="Arial" w:eastAsia="Arial" w:hAnsi="Arial"/>
          <w:b/>
          <w:bCs/>
          <w:color w:val="2E75B6"/>
          <w:sz w:val="26"/>
          <w:szCs w:val="26"/>
        </w:rPr>
        <w:t xml:space="preserve">Pre-Launch Checklist</w:t>
      </w:r>
    </w:p>
    <w:p>
      <w:pPr>
        <w:spacing w:after="120"/>
      </w:pPr>
      <w:r>
        <w:rPr>
          <w:rFonts w:ascii="Arial" w:cs="Arial" w:eastAsia="Arial" w:hAnsi="Arial"/>
          <w:sz w:val="21"/>
          <w:szCs w:val="21"/>
        </w:rPr>
        <w:t xml:space="preserve">✓  Trailing stop wired to live engine (commit 092ae7a)</w:t>
      </w:r>
    </w:p>
    <w:p>
      <w:pPr>
        <w:spacing w:after="120"/>
      </w:pPr>
      <w:r>
        <w:rPr>
          <w:rFonts w:ascii="Arial" w:cs="Arial" w:eastAsia="Arial" w:hAnsi="Arial"/>
          <w:sz w:val="21"/>
          <w:szCs w:val="21"/>
        </w:rPr>
        <w:t xml:space="preserve">✓  Trade close detection via SignalR (commit 56c91e4)</w:t>
      </w:r>
    </w:p>
    <w:p>
      <w:pPr>
        <w:spacing w:after="120"/>
      </w:pPr>
      <w:r>
        <w:rPr>
          <w:rFonts w:ascii="Arial" w:cs="Arial" w:eastAsia="Arial" w:hAnsi="Arial"/>
          <w:sz w:val="21"/>
          <w:szCs w:val="21"/>
        </w:rPr>
        <w:t xml:space="preserve">✓  MLL v1 protection active (risk_manager.enable_topstep_mode)</w:t>
      </w:r>
    </w:p>
    <w:p>
      <w:pPr>
        <w:spacing w:after="120"/>
      </w:pPr>
      <w:r>
        <w:rPr>
          <w:rFonts w:ascii="Arial" w:cs="Arial" w:eastAsia="Arial" w:hAnsi="Arial"/>
          <w:sz w:val="21"/>
          <w:szCs w:val="21"/>
        </w:rPr>
        <w:t xml:space="preserve">✓  Signal deduplication (commit 032fa9a)</w:t>
      </w:r>
    </w:p>
    <w:p>
      <w:pPr>
        <w:spacing w:after="120"/>
      </w:pPr>
      <w:r>
        <w:rPr>
          <w:rFonts w:ascii="Arial" w:cs="Arial" w:eastAsia="Arial" w:hAnsi="Arial"/>
          <w:sz w:val="21"/>
          <w:szCs w:val="21"/>
        </w:rPr>
        <w:t xml:space="preserve">✓  Target price adjustment (commit 52264c1)</w:t>
      </w:r>
    </w:p>
    <w:p>
      <w:pPr>
        <w:spacing w:after="120"/>
      </w:pPr>
      <w:r>
        <w:rPr>
          <w:rFonts w:ascii="Arial" w:cs="Arial" w:eastAsia="Arial" w:hAnsi="Arial"/>
          <w:sz w:val="21"/>
          <w:szCs w:val="21"/>
        </w:rPr>
        <w:t xml:space="preserve">✓  Telegram alerts: SIGNAL FIRED + TRADE OPENED + WIN/LOSS</w:t>
      </w:r>
    </w:p>
    <w:p>
      <w:pPr>
        <w:spacing w:after="120"/>
      </w:pPr>
      <w:r>
        <w:rPr>
          <w:rFonts w:ascii="Arial" w:cs="Arial" w:eastAsia="Arial" w:hAnsi="Arial"/>
          <w:sz w:val="21"/>
          <w:szCs w:val="21"/>
        </w:rPr>
        <w:t xml:space="preserve">✓  PID lock prevents multi-instance</w:t>
      </w:r>
    </w:p>
    <w:p>
      <w:pPr>
        <w:spacing w:after="120"/>
      </w:pPr>
      <w:r>
        <w:rPr>
          <w:rFonts w:ascii="Arial" w:cs="Arial" w:eastAsia="Arial" w:hAnsi="Arial"/>
          <w:sz w:val="21"/>
          <w:szCs w:val="21"/>
        </w:rPr>
        <w:t xml:space="preserve">✓  Walk-forward: 24/24 (100%)</w:t>
      </w:r>
    </w:p>
    <w:p>
      <w:pPr>
        <w:spacing w:after="120"/>
      </w:pPr>
      <w:r>
        <w:rPr>
          <w:rFonts w:ascii="Arial" w:cs="Arial" w:eastAsia="Arial" w:hAnsi="Arial"/>
          <w:sz w:val="21"/>
          <w:szCs w:val="21"/>
        </w:rPr>
        <w:t xml:space="preserve">✓  Combine Simulator bug fix: profit target now checked daily (commit e4b4c4d)</w:t>
      </w:r>
    </w:p>
    <w:p>
      <w:pPr>
        <w:spacing w:after="120"/>
      </w:pPr>
      <w:r>
        <w:rPr>
          <w:rFonts w:ascii="Arial" w:cs="Arial" w:eastAsia="Arial" w:hAnsi="Arial"/>
          <w:sz w:val="21"/>
          <w:szCs w:val="21"/>
        </w:rPr>
        <w:t xml:space="preserve">✓  Combine pass rates: $50K 96.7–100%, $150K 91–93%</w:t>
      </w:r>
    </w:p>
    <w:p>
      <w:pPr>
        <w:spacing w:after="60"/>
      </w:pPr>
    </w:p>
    <w:p>
      <w:pPr>
        <w:spacing w:after="120"/>
      </w:pPr>
      <w:r>
        <w:rPr>
          <w:rFonts w:ascii="Arial" w:cs="Arial" w:eastAsia="Arial" w:hAnsi="Arial"/>
          <w:sz w:val="21"/>
          <w:szCs w:val="21"/>
        </w:rPr>
        <w:t xml:space="preserve">□  Paper trade minimum 5 days with all systems active</w:t>
      </w:r>
    </w:p>
    <w:p>
      <w:pPr>
        <w:spacing w:after="120"/>
      </w:pPr>
      <w:r>
        <w:rPr>
          <w:rFonts w:ascii="Arial" w:cs="Arial" w:eastAsia="Arial" w:hAnsi="Arial"/>
          <w:sz w:val="21"/>
          <w:szCs w:val="21"/>
        </w:rPr>
        <w:t xml:space="preserve">□  Verify trailing stop updates in live log</w:t>
      </w:r>
    </w:p>
    <w:p>
      <w:pPr>
        <w:spacing w:after="120"/>
      </w:pPr>
      <w:r>
        <w:rPr>
          <w:rFonts w:ascii="Arial" w:cs="Arial" w:eastAsia="Arial" w:hAnsi="Arial"/>
          <w:sz w:val="21"/>
          <w:szCs w:val="21"/>
        </w:rPr>
        <w:t xml:space="preserve">□  Verify WIN/LOSS Telegram alerts fire correctly</w:t>
      </w:r>
    </w:p>
    <w:p>
      <w:pPr>
        <w:spacing w:after="120"/>
      </w:pPr>
      <w:r>
        <w:rPr>
          <w:rFonts w:ascii="Arial" w:cs="Arial" w:eastAsia="Arial" w:hAnsi="Arial"/>
          <w:sz w:val="21"/>
          <w:szCs w:val="21"/>
        </w:rPr>
        <w:t xml:space="preserve">□  Begin funded Combine attempt</w:t>
      </w:r>
    </w:p>
    <w:p>
      <w:pPr>
        <w:spacing w:after="60"/>
      </w:pPr>
    </w:p>
    <w:p>
      <w:pPr>
        <w:pStyle w:val="Heading2"/>
        <w:spacing w:after="120" w:before="240"/>
      </w:pPr>
      <w:r>
        <w:rPr>
          <w:rFonts w:ascii="Arial" w:cs="Arial" w:eastAsia="Arial" w:hAnsi="Arial"/>
          <w:b/>
          <w:bCs/>
          <w:color w:val="2E75B6"/>
          <w:sz w:val="26"/>
          <w:szCs w:val="26"/>
        </w:rPr>
        <w:t xml:space="preserve">Verdict</w:t>
      </w:r>
    </w:p>
    <w:p>
      <w:pPr>
        <w:spacing w:after="120"/>
      </w:pPr>
      <w:r>
        <w:rPr>
          <w:rFonts w:ascii="Arial" w:cs="Arial" w:eastAsia="Arial" w:hAnsi="Arial"/>
          <w:b/>
          <w:bCs/>
          <w:sz w:val="21"/>
          <w:szCs w:val="21"/>
        </w:rPr>
        <w:t xml:space="preserve">READY FOR COMBINE. All anti-overfit gates passed. Backtest-to-live parity confirmed. Zero MLL/DLL breaches in any Combine attempt. Expected 1 attempt, 12 days to pass ($50K) or 30 days ($150K).</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5"/>
        <w:szCs w:val="15"/>
      </w:rPr>
      <w:t xml:space="preserve">AlgoICT Engine — Definitive Backtest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1B3A5C"/>
      <w:sz w:val="32"/>
      <w:szCs w:val="32"/>
    </w:rPr>
  </w:style>
  <w:style w:type="paragraph" w:styleId="Heading2">
    <w:name w:val="Heading 2"/>
    <w:basedOn w:val="Normal"/>
    <w:next w:val="Normal"/>
    <w:qFormat/>
    <w:pPr>
      <w:spacing w:after="120" w:before="240"/>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2026-04-19T14:03:40.424Z</dcterms:created>
  <dcterms:modified xsi:type="dcterms:W3CDTF">2026-04-19T14:03:40.425Z</dcterms:modified>
</cp:coreProperties>
</file>

<file path=docProps/custom.xml><?xml version="1.0" encoding="utf-8"?>
<Properties xmlns="http://schemas.openxmlformats.org/officeDocument/2006/custom-properties" xmlns:vt="http://schemas.openxmlformats.org/officeDocument/2006/docPropsVTypes"/>
</file>